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140E">
      <w:pPr>
        <w:spacing w:afterLines="50"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746"/>
        <w:gridCol w:w="582"/>
        <w:gridCol w:w="558"/>
        <w:gridCol w:w="618"/>
        <w:gridCol w:w="232"/>
        <w:gridCol w:w="567"/>
        <w:gridCol w:w="1238"/>
        <w:gridCol w:w="992"/>
        <w:gridCol w:w="855"/>
        <w:gridCol w:w="1468"/>
      </w:tblGrid>
      <w:tr w:rsidR="002A02B7" w:rsidTr="00981653">
        <w:trPr>
          <w:trHeight w:hRule="exact" w:val="680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屈利娟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1972.11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B7" w:rsidRDefault="002A02B7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</w:t>
            </w:r>
          </w:p>
        </w:tc>
      </w:tr>
      <w:tr w:rsidR="00981653" w:rsidTr="00981653">
        <w:trPr>
          <w:trHeight w:hRule="exact" w:val="680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3" w:rsidRDefault="00981653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3" w:rsidRDefault="00981653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后勤管理处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处长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3" w:rsidRDefault="00981653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3" w:rsidRDefault="00981653" w:rsidP="00981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2014.4</w:t>
            </w:r>
          </w:p>
        </w:tc>
      </w:tr>
      <w:tr w:rsidR="007E1393" w:rsidRPr="007E1393" w:rsidTr="002A02B7">
        <w:trPr>
          <w:trHeight w:val="1058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3" w:rsidRPr="007E1393" w:rsidRDefault="007E1393" w:rsidP="0077140E">
            <w:pPr>
              <w:spacing w:beforeLines="50" w:line="440" w:lineRule="exact"/>
              <w:rPr>
                <w:szCs w:val="21"/>
              </w:rPr>
            </w:pPr>
            <w:r w:rsidRPr="007E1393">
              <w:rPr>
                <w:rFonts w:hint="eastAsia"/>
                <w:szCs w:val="21"/>
              </w:rPr>
              <w:t>工作业绩（自评）</w:t>
            </w:r>
          </w:p>
          <w:p w:rsidR="007E1393" w:rsidRPr="007E1393" w:rsidRDefault="007E1393" w:rsidP="0077140E">
            <w:pPr>
              <w:adjustRightInd w:val="0"/>
              <w:snapToGrid w:val="0"/>
              <w:spacing w:beforeLines="50" w:line="440" w:lineRule="exact"/>
              <w:ind w:firstLineChars="200" w:firstLine="420"/>
              <w:rPr>
                <w:szCs w:val="21"/>
              </w:rPr>
            </w:pPr>
            <w:r w:rsidRPr="007E1393">
              <w:rPr>
                <w:rFonts w:hint="eastAsia"/>
                <w:szCs w:val="21"/>
              </w:rPr>
              <w:t>自担任浙江大学宁波理工学院后勤管理处处长以来，本人深入基层、虚心学习、广泛调研</w:t>
            </w:r>
            <w:r w:rsidRPr="007E1393">
              <w:rPr>
                <w:rFonts w:hint="eastAsia"/>
                <w:szCs w:val="21"/>
              </w:rPr>
              <w:t xml:space="preserve"> </w:t>
            </w:r>
            <w:r w:rsidRPr="007E1393">
              <w:rPr>
                <w:rFonts w:hint="eastAsia"/>
                <w:szCs w:val="21"/>
              </w:rPr>
              <w:t>，转变角色，团结带领全处同志，较好地完成了年度后勤服务管理工作。</w:t>
            </w:r>
          </w:p>
          <w:p w:rsidR="007E1393" w:rsidRPr="007E1393" w:rsidRDefault="007E1393" w:rsidP="0077140E">
            <w:pPr>
              <w:adjustRightInd w:val="0"/>
              <w:snapToGrid w:val="0"/>
              <w:spacing w:beforeLines="50" w:line="440" w:lineRule="exact"/>
              <w:ind w:firstLineChars="200" w:firstLine="422"/>
              <w:rPr>
                <w:szCs w:val="21"/>
              </w:rPr>
            </w:pPr>
            <w:r w:rsidRPr="007E1393">
              <w:rPr>
                <w:rFonts w:hint="eastAsia"/>
                <w:b/>
                <w:szCs w:val="21"/>
              </w:rPr>
              <w:t>一、认真学习，深入调研，尽快实现角色转变。</w:t>
            </w:r>
            <w:r w:rsidRPr="007E1393">
              <w:rPr>
                <w:rFonts w:hint="eastAsia"/>
                <w:szCs w:val="21"/>
              </w:rPr>
              <w:t>认真学习党的十八届三中、四中全会文件，做到政治上与党中央保持一致；上任伊始，深入各学院（系、部）调研，了解后勤服务需求，听取院系建议意见，到省内、宁波市等多所高校开展专题调研；虚心向领导、同事、同仁请教学习，做到多问多看多听多想，尽快</w:t>
            </w:r>
            <w:proofErr w:type="gramStart"/>
            <w:r w:rsidRPr="007E1393">
              <w:rPr>
                <w:rFonts w:hint="eastAsia"/>
                <w:szCs w:val="21"/>
              </w:rPr>
              <w:t>熟悉校</w:t>
            </w:r>
            <w:proofErr w:type="gramEnd"/>
            <w:r w:rsidRPr="007E1393">
              <w:rPr>
                <w:rFonts w:hint="eastAsia"/>
                <w:szCs w:val="21"/>
              </w:rPr>
              <w:t>情，较快融入岗位角色。</w:t>
            </w:r>
          </w:p>
          <w:p w:rsidR="007E1393" w:rsidRPr="007E1393" w:rsidRDefault="007E1393" w:rsidP="0077140E">
            <w:pPr>
              <w:adjustRightInd w:val="0"/>
              <w:snapToGrid w:val="0"/>
              <w:spacing w:beforeLines="50" w:line="440" w:lineRule="exact"/>
              <w:ind w:firstLineChars="200" w:firstLine="422"/>
              <w:rPr>
                <w:szCs w:val="21"/>
              </w:rPr>
            </w:pPr>
            <w:r w:rsidRPr="007E1393">
              <w:rPr>
                <w:rFonts w:hint="eastAsia"/>
                <w:b/>
                <w:szCs w:val="21"/>
              </w:rPr>
              <w:t>二、规范程序，强化管理，圆满完成年度维修任务。</w:t>
            </w:r>
            <w:r w:rsidRPr="007E1393">
              <w:rPr>
                <w:rFonts w:hint="eastAsia"/>
                <w:szCs w:val="21"/>
              </w:rPr>
              <w:t>从规范程序防范风险，加强项目全过程管理，提升</w:t>
            </w:r>
            <w:proofErr w:type="gramStart"/>
            <w:r w:rsidRPr="007E1393">
              <w:rPr>
                <w:rFonts w:hint="eastAsia"/>
                <w:szCs w:val="21"/>
              </w:rPr>
              <w:t>零修服务</w:t>
            </w:r>
            <w:proofErr w:type="gramEnd"/>
            <w:r w:rsidRPr="007E1393">
              <w:rPr>
                <w:rFonts w:hint="eastAsia"/>
                <w:szCs w:val="21"/>
              </w:rPr>
              <w:t>质量效率和强化设施</w:t>
            </w:r>
            <w:proofErr w:type="gramStart"/>
            <w:r w:rsidRPr="007E1393">
              <w:rPr>
                <w:rFonts w:hint="eastAsia"/>
                <w:szCs w:val="21"/>
              </w:rPr>
              <w:t>专业化维保四个</w:t>
            </w:r>
            <w:proofErr w:type="gramEnd"/>
            <w:r w:rsidRPr="007E1393">
              <w:rPr>
                <w:rFonts w:hint="eastAsia"/>
                <w:szCs w:val="21"/>
              </w:rPr>
              <w:t>方面提升学校维修管理服务质量，提升资金使用效益。克服时间紧，人手少，任务重等实际困难，在同事们的共同努力下，完成了各类维修专项</w:t>
            </w:r>
            <w:r w:rsidRPr="007E1393">
              <w:rPr>
                <w:rFonts w:hint="eastAsia"/>
                <w:szCs w:val="21"/>
              </w:rPr>
              <w:t>23</w:t>
            </w:r>
            <w:r w:rsidRPr="007E1393">
              <w:rPr>
                <w:rFonts w:hint="eastAsia"/>
                <w:szCs w:val="21"/>
              </w:rPr>
              <w:t>项，零星维修项目</w:t>
            </w:r>
            <w:r w:rsidRPr="007E1393">
              <w:rPr>
                <w:rFonts w:hint="eastAsia"/>
                <w:szCs w:val="21"/>
              </w:rPr>
              <w:t>2000</w:t>
            </w:r>
            <w:r w:rsidRPr="007E1393">
              <w:rPr>
                <w:rFonts w:hint="eastAsia"/>
                <w:szCs w:val="21"/>
              </w:rPr>
              <w:t>余项。</w:t>
            </w:r>
            <w:r w:rsidRPr="007E1393">
              <w:rPr>
                <w:rFonts w:hint="eastAsia"/>
                <w:szCs w:val="21"/>
              </w:rPr>
              <w:t xml:space="preserve"> </w:t>
            </w:r>
          </w:p>
          <w:p w:rsidR="007E1393" w:rsidRPr="007E1393" w:rsidRDefault="007E1393" w:rsidP="0077140E">
            <w:pPr>
              <w:adjustRightInd w:val="0"/>
              <w:snapToGrid w:val="0"/>
              <w:spacing w:beforeLines="50" w:line="440" w:lineRule="exact"/>
              <w:ind w:firstLineChars="200" w:firstLine="422"/>
              <w:rPr>
                <w:szCs w:val="21"/>
              </w:rPr>
            </w:pPr>
            <w:r w:rsidRPr="007E1393">
              <w:rPr>
                <w:rFonts w:hint="eastAsia"/>
                <w:b/>
                <w:szCs w:val="21"/>
              </w:rPr>
              <w:t>三、理清思路，优化资源，做好房产管理服务工作。</w:t>
            </w:r>
            <w:r w:rsidRPr="007E1393">
              <w:rPr>
                <w:rFonts w:hint="eastAsia"/>
                <w:szCs w:val="21"/>
              </w:rPr>
              <w:t>以优化房产资源，提高房产</w:t>
            </w:r>
            <w:r w:rsidR="0077140E">
              <w:rPr>
                <w:rFonts w:hint="eastAsia"/>
                <w:szCs w:val="21"/>
              </w:rPr>
              <w:t>使</w:t>
            </w:r>
            <w:r w:rsidRPr="007E1393">
              <w:rPr>
                <w:rFonts w:hint="eastAsia"/>
                <w:szCs w:val="21"/>
              </w:rPr>
              <w:t>用效率为目的，在到岗较短时间内，对学校公用房、教师公寓等房产信息进行梳理调研</w:t>
            </w:r>
            <w:r w:rsidR="0077140E">
              <w:rPr>
                <w:rFonts w:hint="eastAsia"/>
                <w:szCs w:val="21"/>
              </w:rPr>
              <w:t>，制定房产管理信息化方案，理清思路，为下一步推动公用分类管理打下</w:t>
            </w:r>
            <w:r w:rsidRPr="007E1393">
              <w:rPr>
                <w:rFonts w:hint="eastAsia"/>
                <w:szCs w:val="21"/>
              </w:rPr>
              <w:t>基础；完成了学府苑二期住房分配方案及报名工作、东部新城公租房管理、行政办公用房调整方案等工作。</w:t>
            </w:r>
          </w:p>
          <w:p w:rsidR="007E1393" w:rsidRPr="007E1393" w:rsidRDefault="007E1393" w:rsidP="0077140E">
            <w:pPr>
              <w:adjustRightInd w:val="0"/>
              <w:snapToGrid w:val="0"/>
              <w:spacing w:beforeLines="50" w:line="440" w:lineRule="exact"/>
              <w:ind w:firstLineChars="200" w:firstLine="422"/>
              <w:jc w:val="left"/>
              <w:rPr>
                <w:szCs w:val="21"/>
              </w:rPr>
            </w:pPr>
            <w:r w:rsidRPr="007E1393">
              <w:rPr>
                <w:rFonts w:hint="eastAsia"/>
                <w:b/>
                <w:szCs w:val="21"/>
              </w:rPr>
              <w:t>四、强调需求，抓住关键，做好后勤服务保障工作。</w:t>
            </w:r>
            <w:r w:rsidRPr="007E1393">
              <w:rPr>
                <w:rFonts w:hint="eastAsia"/>
                <w:szCs w:val="21"/>
              </w:rPr>
              <w:t>加强空调、水电设施的专业化维保，完成全校所有配电设施全面维修与检测，修复图书馆</w:t>
            </w:r>
            <w:r w:rsidRPr="007E1393">
              <w:rPr>
                <w:rFonts w:hint="eastAsia"/>
                <w:szCs w:val="21"/>
              </w:rPr>
              <w:t>40%</w:t>
            </w:r>
            <w:r w:rsidRPr="007E1393">
              <w:rPr>
                <w:rFonts w:hint="eastAsia"/>
                <w:szCs w:val="21"/>
              </w:rPr>
              <w:t>末端盘管与新风机组，彻底解决空调效果差能耗高等问题；修复漏水点</w:t>
            </w:r>
            <w:r w:rsidRPr="007E1393">
              <w:rPr>
                <w:rFonts w:hint="eastAsia"/>
                <w:szCs w:val="21"/>
              </w:rPr>
              <w:t>27</w:t>
            </w:r>
            <w:r w:rsidRPr="007E1393">
              <w:rPr>
                <w:rFonts w:hint="eastAsia"/>
                <w:szCs w:val="21"/>
              </w:rPr>
              <w:t>处，全年用水量控制在节水指标</w:t>
            </w:r>
            <w:r w:rsidRPr="007E1393">
              <w:rPr>
                <w:rFonts w:hint="eastAsia"/>
                <w:szCs w:val="21"/>
              </w:rPr>
              <w:t>90%</w:t>
            </w:r>
            <w:r w:rsidRPr="007E1393">
              <w:rPr>
                <w:rFonts w:hint="eastAsia"/>
                <w:szCs w:val="21"/>
              </w:rPr>
              <w:t>以内，完成食堂蒸汽系统节能改造项目，</w:t>
            </w:r>
            <w:r w:rsidRPr="007E1393">
              <w:rPr>
                <w:rFonts w:hint="eastAsia"/>
                <w:szCs w:val="21"/>
              </w:rPr>
              <w:t>8-11</w:t>
            </w:r>
            <w:r w:rsidRPr="007E1393">
              <w:rPr>
                <w:rFonts w:hint="eastAsia"/>
                <w:szCs w:val="21"/>
              </w:rPr>
              <w:t>月节约能耗费</w:t>
            </w:r>
            <w:r w:rsidRPr="007E1393">
              <w:rPr>
                <w:rFonts w:hint="eastAsia"/>
                <w:szCs w:val="21"/>
              </w:rPr>
              <w:t>54</w:t>
            </w:r>
            <w:r w:rsidRPr="007E1393">
              <w:rPr>
                <w:rFonts w:hint="eastAsia"/>
                <w:szCs w:val="21"/>
              </w:rPr>
              <w:t>万元，降低餐饮成本</w:t>
            </w:r>
            <w:r w:rsidRPr="007E1393">
              <w:rPr>
                <w:rFonts w:hint="eastAsia"/>
                <w:szCs w:val="21"/>
              </w:rPr>
              <w:t>5%</w:t>
            </w:r>
            <w:r w:rsidRPr="007E1393">
              <w:rPr>
                <w:rFonts w:hint="eastAsia"/>
                <w:szCs w:val="21"/>
              </w:rPr>
              <w:t>；按照精管细养、干净整洁的要求做好校园环境卫生与美化绿化工作。</w:t>
            </w:r>
          </w:p>
        </w:tc>
      </w:tr>
      <w:tr w:rsidR="00772E98" w:rsidRPr="007E1393" w:rsidTr="002A02B7">
        <w:trPr>
          <w:cantSplit/>
          <w:trHeight w:val="481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3" w:rsidRPr="007E1393" w:rsidRDefault="007E1393" w:rsidP="0077140E">
            <w:pPr>
              <w:spacing w:beforeLines="50"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</w:t>
            </w:r>
            <w:r w:rsidRPr="007E1393">
              <w:rPr>
                <w:rFonts w:hint="eastAsia"/>
                <w:b/>
                <w:szCs w:val="21"/>
              </w:rPr>
              <w:t>五、师生参与，强化监督，做好后勤服务监管工作。</w:t>
            </w:r>
            <w:r w:rsidRPr="007E1393">
              <w:rPr>
                <w:rFonts w:hint="eastAsia"/>
                <w:szCs w:val="21"/>
              </w:rPr>
              <w:t>强调后勤服务专</w:t>
            </w:r>
            <w:r w:rsidR="0077140E">
              <w:rPr>
                <w:rFonts w:hint="eastAsia"/>
                <w:szCs w:val="21"/>
              </w:rPr>
              <w:t>业化监管，通过公开征集</w:t>
            </w:r>
            <w:proofErr w:type="gramStart"/>
            <w:r w:rsidR="0077140E">
              <w:rPr>
                <w:rFonts w:hint="eastAsia"/>
                <w:szCs w:val="21"/>
              </w:rPr>
              <w:t>与邀请</w:t>
            </w:r>
            <w:proofErr w:type="gramEnd"/>
            <w:r w:rsidR="0077140E">
              <w:rPr>
                <w:rFonts w:hint="eastAsia"/>
                <w:szCs w:val="21"/>
              </w:rPr>
              <w:t>相结合请师生代表参与学校后勤服务</w:t>
            </w:r>
            <w:r w:rsidRPr="007E1393">
              <w:rPr>
                <w:rFonts w:hint="eastAsia"/>
                <w:szCs w:val="21"/>
              </w:rPr>
              <w:t>监督，让师生了解后勤，直面后勤一线，听取他们的真实想法与建议，并及时反馈与解决问题。根据学校后勤服务的新格局，及时调整思路初步拟定了学校后勤服务质量考核管理办法。</w:t>
            </w:r>
          </w:p>
          <w:p w:rsidR="002A23F6" w:rsidRDefault="002A23F6" w:rsidP="002A23F6">
            <w:pPr>
              <w:rPr>
                <w:szCs w:val="21"/>
              </w:rPr>
            </w:pPr>
          </w:p>
          <w:p w:rsidR="002A23F6" w:rsidRDefault="002A23F6" w:rsidP="002A23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进课堂、进寝室情况：本学期共进寝室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次。</w:t>
            </w:r>
          </w:p>
          <w:p w:rsidR="00BA063A" w:rsidRPr="007E1393" w:rsidRDefault="00BA063A" w:rsidP="007E1393">
            <w:pPr>
              <w:spacing w:line="360" w:lineRule="auto"/>
              <w:rPr>
                <w:szCs w:val="21"/>
              </w:rPr>
            </w:pPr>
          </w:p>
          <w:p w:rsidR="00772E98" w:rsidRPr="007E1393" w:rsidRDefault="00772E98" w:rsidP="007E1393">
            <w:pPr>
              <w:spacing w:line="360" w:lineRule="auto"/>
              <w:rPr>
                <w:szCs w:val="21"/>
              </w:rPr>
            </w:pPr>
            <w:r w:rsidRPr="007E1393">
              <w:rPr>
                <w:szCs w:val="21"/>
              </w:rPr>
              <w:t xml:space="preserve">                                      </w:t>
            </w:r>
            <w:r w:rsidR="00A16C91">
              <w:rPr>
                <w:rFonts w:hint="eastAsia"/>
                <w:szCs w:val="21"/>
              </w:rPr>
              <w:t xml:space="preserve">            </w:t>
            </w:r>
            <w:r w:rsidRPr="007E1393">
              <w:rPr>
                <w:rFonts w:hint="eastAsia"/>
                <w:szCs w:val="21"/>
              </w:rPr>
              <w:t>本人签名：</w:t>
            </w:r>
            <w:r w:rsidRPr="007E1393">
              <w:rPr>
                <w:szCs w:val="21"/>
              </w:rPr>
              <w:t xml:space="preserve">                 </w:t>
            </w:r>
          </w:p>
          <w:p w:rsidR="00772E98" w:rsidRPr="007E1393" w:rsidRDefault="00A16C91" w:rsidP="00A16C91">
            <w:pPr>
              <w:spacing w:line="360" w:lineRule="auto"/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 w:rsidR="00772E98" w:rsidRPr="007E1393">
              <w:rPr>
                <w:rFonts w:hint="eastAsia"/>
                <w:szCs w:val="21"/>
              </w:rPr>
              <w:t>年</w:t>
            </w:r>
            <w:r w:rsidR="00772E98" w:rsidRPr="007E139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12</w:t>
            </w:r>
            <w:r w:rsidR="00772E98" w:rsidRPr="007E1393">
              <w:rPr>
                <w:szCs w:val="21"/>
              </w:rPr>
              <w:t xml:space="preserve"> </w:t>
            </w:r>
            <w:r w:rsidR="00772E98" w:rsidRPr="007E13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="00772E98" w:rsidRPr="007E1393">
              <w:rPr>
                <w:szCs w:val="21"/>
              </w:rPr>
              <w:t xml:space="preserve"> </w:t>
            </w:r>
            <w:r w:rsidR="00772E98" w:rsidRPr="007E1393">
              <w:rPr>
                <w:rFonts w:hint="eastAsia"/>
                <w:szCs w:val="21"/>
              </w:rPr>
              <w:t>日</w:t>
            </w:r>
          </w:p>
        </w:tc>
      </w:tr>
      <w:tr w:rsidR="00772E98" w:rsidTr="002A02B7">
        <w:trPr>
          <w:cantSplit/>
          <w:trHeight w:val="2779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8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  <w:p w:rsidR="007E1393" w:rsidRDefault="007E1393" w:rsidP="003F2C99">
            <w:pPr>
              <w:rPr>
                <w:szCs w:val="21"/>
              </w:rPr>
            </w:pPr>
          </w:p>
        </w:tc>
      </w:tr>
      <w:tr w:rsidR="00772E98" w:rsidTr="002A02B7">
        <w:trPr>
          <w:cantSplit/>
          <w:trHeight w:val="891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7E13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2A02B7">
        <w:trPr>
          <w:cantSplit/>
          <w:trHeight w:val="33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7E1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E1393" w:rsidRDefault="007E1393" w:rsidP="003F2C99">
            <w:pPr>
              <w:ind w:right="240"/>
              <w:rPr>
                <w:szCs w:val="21"/>
              </w:rPr>
            </w:pPr>
          </w:p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77140E">
            <w:pPr>
              <w:spacing w:afterLines="5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sectPr w:rsidR="00772E98" w:rsidSect="0094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B1" w:rsidRDefault="003D3AB1" w:rsidP="00772E98">
      <w:r>
        <w:separator/>
      </w:r>
    </w:p>
  </w:endnote>
  <w:endnote w:type="continuationSeparator" w:id="0">
    <w:p w:rsidR="003D3AB1" w:rsidRDefault="003D3AB1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B1" w:rsidRDefault="003D3AB1" w:rsidP="00772E98">
      <w:r>
        <w:separator/>
      </w:r>
    </w:p>
  </w:footnote>
  <w:footnote w:type="continuationSeparator" w:id="0">
    <w:p w:rsidR="003D3AB1" w:rsidRDefault="003D3AB1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252DD"/>
    <w:rsid w:val="00061880"/>
    <w:rsid w:val="00094553"/>
    <w:rsid w:val="00097E3F"/>
    <w:rsid w:val="00111B03"/>
    <w:rsid w:val="00147C60"/>
    <w:rsid w:val="00176930"/>
    <w:rsid w:val="00180F19"/>
    <w:rsid w:val="001826E5"/>
    <w:rsid w:val="002168EC"/>
    <w:rsid w:val="0025619B"/>
    <w:rsid w:val="0029195F"/>
    <w:rsid w:val="002A02B7"/>
    <w:rsid w:val="002A23F6"/>
    <w:rsid w:val="003462AD"/>
    <w:rsid w:val="0039423B"/>
    <w:rsid w:val="003B50B6"/>
    <w:rsid w:val="003D3AB1"/>
    <w:rsid w:val="004259A0"/>
    <w:rsid w:val="004811DE"/>
    <w:rsid w:val="004A671F"/>
    <w:rsid w:val="004B2546"/>
    <w:rsid w:val="00522703"/>
    <w:rsid w:val="005519B2"/>
    <w:rsid w:val="0059721C"/>
    <w:rsid w:val="005D1976"/>
    <w:rsid w:val="006672EA"/>
    <w:rsid w:val="006774C9"/>
    <w:rsid w:val="006A0833"/>
    <w:rsid w:val="006B5E2C"/>
    <w:rsid w:val="006D0E77"/>
    <w:rsid w:val="006E5686"/>
    <w:rsid w:val="00746C03"/>
    <w:rsid w:val="00752A2D"/>
    <w:rsid w:val="007571EF"/>
    <w:rsid w:val="0077140E"/>
    <w:rsid w:val="00772E98"/>
    <w:rsid w:val="007A5A11"/>
    <w:rsid w:val="007E1393"/>
    <w:rsid w:val="00844BA2"/>
    <w:rsid w:val="008A7A3D"/>
    <w:rsid w:val="00936128"/>
    <w:rsid w:val="009407CA"/>
    <w:rsid w:val="00950F8F"/>
    <w:rsid w:val="00965FD7"/>
    <w:rsid w:val="00981653"/>
    <w:rsid w:val="00990D3B"/>
    <w:rsid w:val="00A16C91"/>
    <w:rsid w:val="00A2516E"/>
    <w:rsid w:val="00A4249C"/>
    <w:rsid w:val="00A72BB3"/>
    <w:rsid w:val="00AB437F"/>
    <w:rsid w:val="00AC052C"/>
    <w:rsid w:val="00B36D40"/>
    <w:rsid w:val="00B4317A"/>
    <w:rsid w:val="00B83867"/>
    <w:rsid w:val="00BA063A"/>
    <w:rsid w:val="00BA2055"/>
    <w:rsid w:val="00BC3E5E"/>
    <w:rsid w:val="00BE34B4"/>
    <w:rsid w:val="00C84244"/>
    <w:rsid w:val="00CA7349"/>
    <w:rsid w:val="00D426DA"/>
    <w:rsid w:val="00D42C4E"/>
    <w:rsid w:val="00D52E5E"/>
    <w:rsid w:val="00D61074"/>
    <w:rsid w:val="00D81D3F"/>
    <w:rsid w:val="00DA2DF0"/>
    <w:rsid w:val="00E330C4"/>
    <w:rsid w:val="00E423F3"/>
    <w:rsid w:val="00E51401"/>
    <w:rsid w:val="00E73671"/>
    <w:rsid w:val="00E92506"/>
    <w:rsid w:val="00E93EFB"/>
    <w:rsid w:val="00F042B0"/>
    <w:rsid w:val="00F40948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23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23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后勤管理处</cp:lastModifiedBy>
  <cp:revision>66</cp:revision>
  <dcterms:created xsi:type="dcterms:W3CDTF">2014-12-11T10:00:00Z</dcterms:created>
  <dcterms:modified xsi:type="dcterms:W3CDTF">2014-12-18T03:15:00Z</dcterms:modified>
</cp:coreProperties>
</file>