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</w:t>
      </w:r>
    </w:p>
    <w:p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浙江大学宁波理工学院中层领导干部年度考核表</w:t>
      </w:r>
    </w:p>
    <w:p>
      <w:pPr>
        <w:spacing w:line="440" w:lineRule="exact"/>
        <w:jc w:val="center"/>
      </w:pPr>
      <w:r>
        <w:rPr>
          <w:rFonts w:hint="eastAsia" w:eastAsia="黑体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2014</w:t>
      </w:r>
      <w:r>
        <w:rPr>
          <w:rFonts w:hint="eastAsia" w:eastAsia="黑体"/>
          <w:bCs/>
          <w:sz w:val="36"/>
          <w:szCs w:val="36"/>
        </w:rPr>
        <w:t>年）</w:t>
      </w:r>
    </w:p>
    <w:p>
      <w:pPr>
        <w:spacing w:line="440" w:lineRule="exact"/>
        <w:rPr>
          <w:rFonts w:eastAsia="黑体"/>
          <w:b/>
          <w:bCs/>
          <w:sz w:val="28"/>
        </w:rPr>
      </w:pPr>
    </w:p>
    <w:tbl>
      <w:tblPr>
        <w:tblStyle w:val="6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2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张忠根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1962.7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  <w:r>
              <w:rPr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院长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0" w:hRule="atLeast"/>
          <w:jc w:val="center"/>
        </w:trPr>
        <w:tc>
          <w:tcPr>
            <w:tcW w:w="8208" w:type="dxa"/>
            <w:gridSpan w:val="9"/>
            <w:tcMar>
              <w:top w:w="142" w:type="dxa"/>
              <w:bottom w:w="142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>
            <w:pPr>
              <w:spacing w:beforeLines="50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管理工作：</w:t>
            </w:r>
          </w:p>
          <w:p>
            <w:pPr>
              <w:spacing w:line="300" w:lineRule="auto"/>
              <w:ind w:firstLine="31680" w:firstLineChars="20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班子建设和制度完善。①加强班子和组织建设。学院新班子组建后，班子成员重新分工，明确分工不分家；根据学校要求，调整了各研究所班子成员；调整了院学术委员会组成人员，发挥教授的学术带头作用；成立学科专业建设委员会，聘请国内知名高校和相关部门领导担任委员会专家。②制订和完善规章制度。修订了《管理学院关于贯彻“三重一大”集体决策制度的实施细则》、《管理学院党政联席会议议事规则》、《管理学院信息公开制度》等制度，制订了《管理学院经费使用管理办法（试行）》、《管理学院实习经费管理办法（试行）》、《管理学院公务接待管理办法（试行）》、《管理学院公章管理办法》等制度，实现重大事项决策过程和具体工作操作的制度化和规范化。</w:t>
            </w:r>
          </w:p>
          <w:p>
            <w:pPr>
              <w:spacing w:line="300" w:lineRule="auto"/>
              <w:ind w:firstLine="48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．学科建设和科学研究。①谋划学院发展思路。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月和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月召开骨干教师大会，分析学院发展形势，谋划学院发展思路，讨论学院发展的具体举措；②拓展对外合作交流平台。在进一步巩固与宁波市政府发展研究中心、市社科院、中国社科院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家单位合作共建中心的基础上，新拓展了与市政建设前期办、市城市科学研究会、市人力资源和社会保障局的合作关系，为引进项目和服务地方打下了基础。③举办学术沙龙和学术论坛。举办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期学术沙龙，营造学院学术氛围；</w:t>
            </w:r>
            <w:r>
              <w:rPr>
                <w:rFonts w:hint="eastAsia"/>
                <w:bCs/>
                <w:szCs w:val="21"/>
              </w:rPr>
              <w:t>主办“</w:t>
            </w:r>
            <w:r>
              <w:rPr>
                <w:bCs/>
                <w:szCs w:val="21"/>
              </w:rPr>
              <w:t>2014</w:t>
            </w:r>
            <w:r>
              <w:rPr>
                <w:rFonts w:hint="eastAsia"/>
                <w:bCs/>
                <w:szCs w:val="21"/>
              </w:rPr>
              <w:t>宁波大数据与智慧应用高层论坛”，扩大影响。④加强项目申报辅导。</w:t>
            </w:r>
            <w:r>
              <w:rPr>
                <w:rFonts w:hint="eastAsia"/>
                <w:szCs w:val="21"/>
              </w:rPr>
              <w:t>国家社科项目实现零的突破，获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项省部级、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项地厅级、</w:t>
            </w:r>
            <w:r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>项市局级项目，科研经费达到</w:t>
            </w:r>
            <w:r>
              <w:rPr>
                <w:szCs w:val="21"/>
              </w:rPr>
              <w:t>580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万元，完成学校下达指标的。</w:t>
            </w:r>
          </w:p>
          <w:p>
            <w:pPr>
              <w:spacing w:line="300" w:lineRule="auto"/>
              <w:ind w:firstLine="48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专业建设和学生培养。①提升专业建设水平。物流管理通过省级竞争性评审，获得省新兴特色专业建设项目立项，实现了专业建设省级平台的突破；旅游管理作为学校唯一被推荐专业申报省大学生校外实践教育基地。②推进教育国际化。学生留学和访学取得突破，今年有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个专业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名学生赴法国留学，另有</w:t>
            </w:r>
            <w:r>
              <w:rPr>
                <w:rFonts w:hint="eastAsia"/>
                <w:szCs w:val="21"/>
                <w:lang w:eastAsia="zh-CN"/>
              </w:rPr>
              <w:t>我院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名学生成功获得入学资格，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名学生获得美国圣地亚哥州立大学交换生资格；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名学生赴台湾铭传大学、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名学生赴加拿大多伦多大学、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名学生赴美国麻省大学短期访学。在与法国商科联盟、美国圣地亚哥州立大学等大学签订合作办学协议的基础上，推进与英国女王大学、波兰比亚维斯托克理工大学、新西兰梅西大学、美国印弟安娜波利斯大学合作办学洽谈工作。③强化学生实践教学。成立学科竞赛工作领导小组，健全院所两级管理机制，学生学科竞赛取得好成绩；成立学院公益创业中心，指导学生创业；成立阿里巴巴菜鸟服务站、大益爱心茶室，为学生实践和勤工俭学提供机会；举办旅游专业日活动，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家饭店、旅行社</w:t>
            </w:r>
          </w:p>
        </w:tc>
      </w:tr>
    </w:tbl>
    <w:p>
      <w:pPr>
        <w:widowControl/>
        <w:jc w:val="left"/>
        <w:rPr>
          <w:sz w:val="24"/>
        </w:rPr>
        <w:sectPr>
          <w:headerReference r:id="rId4" w:type="default"/>
          <w:footerReference r:id="rId5" w:type="default"/>
          <w:pgSz w:w="11907" w:h="16840"/>
          <w:pgMar w:top="1418" w:right="1701" w:bottom="1418" w:left="1701" w:header="851" w:footer="992" w:gutter="0"/>
          <w:cols w:space="720" w:num="1"/>
          <w:docGrid w:linePitch="312" w:charSpace="0"/>
        </w:sectPr>
      </w:pPr>
    </w:p>
    <w:tbl>
      <w:tblPr>
        <w:tblStyle w:val="6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17"/>
        <w:gridCol w:w="1176"/>
        <w:gridCol w:w="5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  <w:jc w:val="center"/>
        </w:trPr>
        <w:tc>
          <w:tcPr>
            <w:tcW w:w="8208" w:type="dxa"/>
            <w:gridSpan w:val="4"/>
            <w:tcMar>
              <w:top w:w="142" w:type="dxa"/>
              <w:bottom w:w="14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和景区代表进校园，与师生面对面交流；筹建旅游管理综合实验室。④完善教师教学考核激励机制。修订《管理学院教师课堂教学质量评价办法》、《管理学院教师课堂教学效果等级评价办法》，引导教师提高教育质量。</w:t>
            </w:r>
          </w:p>
          <w:p>
            <w:pPr>
              <w:ind w:firstLine="31680" w:firstLineChars="20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．人才引进和师资培养。①重视人才引进。邀请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人次优秀人才来学院面试，其中教授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名，副教授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名，博士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人。成功引进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名教授，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名博士。②重视人才培养。“三江讲座教授”庞超逸入围“省千计划”；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位教师入选市哲社学科带头人培养计划；另有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位教师入选“校青年骨干人才”；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教师赴国外访学。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进课堂、进寝室情况：</w:t>
            </w:r>
          </w:p>
          <w:p>
            <w:pPr>
              <w:ind w:firstLine="31680" w:firstLineChars="20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．随堂听课。听了王元浩老师的“旅游学概论”、林巧老师的“旅游市场营销”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门课程，与任课教师交流了教学方式方法。</w:t>
            </w:r>
          </w:p>
          <w:p>
            <w:pPr>
              <w:ind w:firstLine="31680" w:firstLineChars="2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．进学生宿舍。迎新当天进新生宿舍看望新生；与书记、辅导员、班导师一起进学生宿舍了解学生生活和学习情况；参加旅游管理专业学生举办的“旅游专业日活动”。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教学科研简要情况（“双肩挑”干部填写）：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>
            <w:pPr>
              <w:ind w:firstLine="31680" w:firstLineChars="2850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>
            <w:pPr>
              <w:ind w:firstLine="3168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7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3168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>
      <w:pPr>
        <w:spacing w:line="320" w:lineRule="exact"/>
        <w:ind w:firstLine="31680" w:firstLineChars="300"/>
      </w:pPr>
      <w:r>
        <w:t>2.</w:t>
      </w:r>
      <w:r>
        <w:rPr>
          <w:rFonts w:hint="eastAsia"/>
        </w:rPr>
        <w:t>签名、单位意见需用黑色、蓝黑色墨水钢笔填写；</w:t>
      </w:r>
    </w:p>
    <w:p>
      <w:pPr>
        <w:spacing w:line="320" w:lineRule="exact"/>
        <w:ind w:left="31680" w:leftChars="30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2E98"/>
    <w:rsid w:val="000069AC"/>
    <w:rsid w:val="000A2996"/>
    <w:rsid w:val="000B23A6"/>
    <w:rsid w:val="000D3478"/>
    <w:rsid w:val="00112E8E"/>
    <w:rsid w:val="001356D1"/>
    <w:rsid w:val="00154EE3"/>
    <w:rsid w:val="00176930"/>
    <w:rsid w:val="001A7000"/>
    <w:rsid w:val="001D7BC4"/>
    <w:rsid w:val="001E60CE"/>
    <w:rsid w:val="001F27C4"/>
    <w:rsid w:val="00213527"/>
    <w:rsid w:val="002A1E75"/>
    <w:rsid w:val="002F099F"/>
    <w:rsid w:val="003A0C1E"/>
    <w:rsid w:val="003F2C99"/>
    <w:rsid w:val="003F3221"/>
    <w:rsid w:val="00405685"/>
    <w:rsid w:val="004A691E"/>
    <w:rsid w:val="004E0075"/>
    <w:rsid w:val="00541D57"/>
    <w:rsid w:val="005B3AC2"/>
    <w:rsid w:val="005B66F7"/>
    <w:rsid w:val="005B67F1"/>
    <w:rsid w:val="0063647D"/>
    <w:rsid w:val="00647C15"/>
    <w:rsid w:val="00693F2A"/>
    <w:rsid w:val="006B43F1"/>
    <w:rsid w:val="006E5C3E"/>
    <w:rsid w:val="00725D6F"/>
    <w:rsid w:val="00772E98"/>
    <w:rsid w:val="0079285F"/>
    <w:rsid w:val="007D5B04"/>
    <w:rsid w:val="00835C7A"/>
    <w:rsid w:val="00871FDD"/>
    <w:rsid w:val="008E681C"/>
    <w:rsid w:val="00992BC0"/>
    <w:rsid w:val="00A327AB"/>
    <w:rsid w:val="00A51495"/>
    <w:rsid w:val="00A66AA0"/>
    <w:rsid w:val="00A87751"/>
    <w:rsid w:val="00A93458"/>
    <w:rsid w:val="00AD4D64"/>
    <w:rsid w:val="00AE502A"/>
    <w:rsid w:val="00B14E11"/>
    <w:rsid w:val="00B14E47"/>
    <w:rsid w:val="00B1638B"/>
    <w:rsid w:val="00B614EB"/>
    <w:rsid w:val="00B62399"/>
    <w:rsid w:val="00B76596"/>
    <w:rsid w:val="00BD7553"/>
    <w:rsid w:val="00BE1EEA"/>
    <w:rsid w:val="00BE3F3E"/>
    <w:rsid w:val="00C25D94"/>
    <w:rsid w:val="00C5251E"/>
    <w:rsid w:val="00C553E6"/>
    <w:rsid w:val="00D1527D"/>
    <w:rsid w:val="00DB62E6"/>
    <w:rsid w:val="00DD465E"/>
    <w:rsid w:val="00DF7C2E"/>
    <w:rsid w:val="00E624BB"/>
    <w:rsid w:val="00F22509"/>
    <w:rsid w:val="00F320B4"/>
    <w:rsid w:val="00FE2BC7"/>
    <w:rsid w:val="534C66BA"/>
    <w:rsid w:val="69E1496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Heading 3 Char"/>
    <w:basedOn w:val="5"/>
    <w:link w:val="2"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8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288</Words>
  <Characters>1648</Characters>
  <Lines>0</Lines>
  <Paragraphs>0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2014-12-11T03:09:00Z</dcterms:created>
  <dc:creator>zy</dc:creator>
  <cp:lastModifiedBy>Administrator</cp:lastModifiedBy>
  <cp:lastPrinted>2014-12-18T01:40:00Z</cp:lastPrinted>
  <dcterms:modified xsi:type="dcterms:W3CDTF">2014-12-18T06:33:56Z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