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rPr>
          <w:rFonts w:ascii="宋体" w:hAnsi="宋体"/>
          <w:sz w:val="24"/>
        </w:rPr>
      </w:pPr>
      <w:r>
        <w:rPr>
          <w:rFonts w:hint="eastAsia" w:ascii="宋体" w:hAnsi="宋体"/>
          <w:sz w:val="24"/>
        </w:rPr>
        <w:t>附件2：</w:t>
      </w:r>
    </w:p>
    <w:p>
      <w:pPr>
        <w:spacing w:line="440" w:lineRule="exact"/>
        <w:jc w:val="center"/>
        <w:rPr>
          <w:rFonts w:eastAsia="黑体"/>
          <w:bCs/>
          <w:sz w:val="36"/>
          <w:szCs w:val="36"/>
        </w:rPr>
      </w:pPr>
      <w:r>
        <w:rPr>
          <w:rFonts w:hint="eastAsia" w:eastAsia="黑体"/>
          <w:bCs/>
          <w:sz w:val="36"/>
          <w:szCs w:val="36"/>
        </w:rPr>
        <w:t>浙江大学宁波理工学院中层领导干部年度考核表</w:t>
      </w:r>
    </w:p>
    <w:p>
      <w:pPr>
        <w:spacing w:line="440" w:lineRule="exact"/>
        <w:jc w:val="center"/>
      </w:pPr>
      <w:r>
        <w:rPr>
          <w:rFonts w:hint="eastAsia" w:eastAsia="黑体"/>
          <w:bCs/>
          <w:sz w:val="36"/>
          <w:szCs w:val="36"/>
        </w:rPr>
        <w:t>（</w:t>
      </w:r>
      <w:r>
        <w:rPr>
          <w:rFonts w:eastAsia="黑体"/>
          <w:bCs/>
          <w:sz w:val="36"/>
          <w:szCs w:val="36"/>
        </w:rPr>
        <w:t>201</w:t>
      </w:r>
      <w:r>
        <w:rPr>
          <w:rFonts w:hint="eastAsia" w:eastAsia="黑体"/>
          <w:bCs/>
          <w:sz w:val="36"/>
          <w:szCs w:val="36"/>
        </w:rPr>
        <w:t>4年）</w:t>
      </w:r>
    </w:p>
    <w:p>
      <w:pPr>
        <w:spacing w:line="440" w:lineRule="exact"/>
        <w:rPr>
          <w:rFonts w:eastAsia="黑体"/>
          <w:b/>
          <w:bCs/>
          <w:sz w:val="28"/>
        </w:rPr>
      </w:pPr>
    </w:p>
    <w:tbl>
      <w:tblPr>
        <w:tblStyle w:val="5"/>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4"/>
        <w:gridCol w:w="698"/>
        <w:gridCol w:w="1260"/>
        <w:gridCol w:w="720"/>
        <w:gridCol w:w="720"/>
        <w:gridCol w:w="720"/>
        <w:gridCol w:w="1260"/>
        <w:gridCol w:w="720"/>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姓名</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eastAsia="zh-CN"/>
              </w:rPr>
            </w:pPr>
            <w:r>
              <w:rPr>
                <w:rFonts w:hint="eastAsia"/>
                <w:szCs w:val="21"/>
                <w:lang w:eastAsia="zh-CN"/>
              </w:rPr>
              <w:t>陆亚女</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性别</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女</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出生</w:t>
            </w:r>
          </w:p>
          <w:p>
            <w:pPr>
              <w:jc w:val="center"/>
              <w:rPr>
                <w:szCs w:val="21"/>
              </w:rPr>
            </w:pPr>
            <w:r>
              <w:rPr>
                <w:rFonts w:hint="eastAsia"/>
                <w:szCs w:val="21"/>
              </w:rPr>
              <w:t>年月</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1967.02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助理研究员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0" w:hRule="atLeast"/>
          <w:jc w:val="center"/>
        </w:trPr>
        <w:tc>
          <w:tcPr>
            <w:tcW w:w="1462"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单位及职务</w:t>
            </w:r>
          </w:p>
        </w:tc>
        <w:tc>
          <w:tcPr>
            <w:tcW w:w="468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学生工作部</w:t>
            </w:r>
            <w:r>
              <w:rPr>
                <w:rFonts w:hint="eastAsia"/>
                <w:szCs w:val="21"/>
                <w:lang w:val="en-US" w:eastAsia="zh-CN"/>
              </w:rPr>
              <w:t xml:space="preserve">   副部长</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任职</w:t>
            </w:r>
          </w:p>
          <w:p>
            <w:pPr>
              <w:jc w:val="center"/>
              <w:rPr>
                <w:szCs w:val="21"/>
              </w:rPr>
            </w:pPr>
            <w:r>
              <w:rPr>
                <w:rFonts w:hint="eastAsia"/>
                <w:szCs w:val="21"/>
              </w:rPr>
              <w:t>时间</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2014.04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580" w:hRule="atLeast"/>
          <w:jc w:val="center"/>
        </w:trPr>
        <w:tc>
          <w:tcPr>
            <w:tcW w:w="8208" w:type="dxa"/>
            <w:gridSpan w:val="9"/>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工作业绩（自评）</w:t>
            </w:r>
          </w:p>
          <w:p>
            <w:pPr>
              <w:rPr>
                <w:szCs w:val="21"/>
              </w:rPr>
            </w:pPr>
            <w:r>
              <w:rPr>
                <w:rFonts w:hint="eastAsia"/>
                <w:szCs w:val="21"/>
              </w:rPr>
              <w:t>管理工作：</w:t>
            </w:r>
          </w:p>
          <w:p>
            <w:pPr>
              <w:widowControl w:val="0"/>
              <w:numPr>
                <w:numId w:val="0"/>
              </w:numPr>
              <w:wordWrap/>
              <w:adjustRightInd/>
              <w:snapToGrid w:val="0"/>
              <w:spacing w:before="0" w:beforeLines="0" w:after="0" w:afterLines="0" w:line="240" w:lineRule="exact"/>
              <w:ind w:left="0" w:leftChars="0" w:right="0"/>
              <w:jc w:val="both"/>
              <w:textAlignment w:val="auto"/>
              <w:outlineLvl w:val="9"/>
              <w:rPr>
                <w:rFonts w:hint="eastAsia" w:ascii="仿宋_GB2312" w:hAnsi="仿宋_GB2312" w:eastAsia="仿宋_GB2312" w:cs="仿宋_GB2312"/>
                <w:b/>
                <w:bCs w:val="0"/>
                <w:sz w:val="21"/>
                <w:szCs w:val="21"/>
                <w:lang w:val="en-US" w:eastAsia="zh-CN"/>
              </w:rPr>
            </w:pPr>
            <w:r>
              <w:rPr>
                <w:rFonts w:hint="eastAsia" w:ascii="仿宋_GB2312" w:hAnsi="仿宋_GB2312" w:eastAsia="仿宋_GB2312" w:cs="仿宋_GB2312"/>
                <w:b w:val="0"/>
                <w:bCs/>
                <w:sz w:val="21"/>
                <w:szCs w:val="21"/>
                <w:lang w:val="en-US" w:eastAsia="zh-CN"/>
              </w:rPr>
              <w:t>管理工作（</w:t>
            </w:r>
            <w:r>
              <w:rPr>
                <w:rFonts w:hint="eastAsia" w:ascii="仿宋_GB2312" w:hAnsi="仿宋_GB2312" w:eastAsia="仿宋_GB2312" w:cs="仿宋_GB2312"/>
                <w:b/>
                <w:bCs w:val="0"/>
                <w:sz w:val="21"/>
                <w:szCs w:val="21"/>
                <w:lang w:val="en-US" w:eastAsia="zh-CN"/>
              </w:rPr>
              <w:t>2014年第一阶段）：</w:t>
            </w:r>
            <w:bookmarkStart w:id="0" w:name="_GoBack"/>
            <w:bookmarkEnd w:id="0"/>
          </w:p>
          <w:p>
            <w:pPr>
              <w:widowControl w:val="0"/>
              <w:numPr>
                <w:ilvl w:val="0"/>
                <w:numId w:val="1"/>
              </w:numPr>
              <w:wordWrap/>
              <w:adjustRightInd/>
              <w:snapToGrid w:val="0"/>
              <w:spacing w:before="0" w:beforeLines="0" w:after="0" w:afterLines="0" w:line="240" w:lineRule="exact"/>
              <w:ind w:left="0" w:leftChars="0" w:right="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协助做好部门和学校安全稳定工作年度总结、2014年度工作计划；</w:t>
            </w:r>
          </w:p>
          <w:p>
            <w:pPr>
              <w:widowControl w:val="0"/>
              <w:numPr>
                <w:numId w:val="0"/>
              </w:numPr>
              <w:wordWrap/>
              <w:adjustRightInd/>
              <w:snapToGrid w:val="0"/>
              <w:spacing w:before="0" w:beforeLines="0" w:after="0" w:afterLines="0" w:line="240" w:lineRule="exact"/>
              <w:ind w:left="0" w:leftChars="0" w:right="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2.完成学校对校内各单位2013年度综治考核及2014年年度的新一轮安全稳定工作责任制签订工作；</w:t>
            </w:r>
          </w:p>
          <w:p>
            <w:pPr>
              <w:widowControl w:val="0"/>
              <w:numPr>
                <w:numId w:val="0"/>
              </w:numPr>
              <w:wordWrap/>
              <w:autoSpaceDN w:val="0"/>
              <w:adjustRightInd/>
              <w:snapToGrid/>
              <w:spacing w:before="0" w:beforeLines="0" w:beforeAutospacing="0" w:after="0" w:afterLines="0" w:afterAutospacing="0" w:line="240" w:lineRule="exact"/>
              <w:ind w:left="0" w:leftChars="0" w:right="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3.做好迎接高校等级平安校园建设考评和创建治安安全单位的考评工作。开展对考评指标责任分解、自评和梳理工作，制作了迎评网页，并认真做好等级平安校园建设和“创安”建设的综合台账，顺利通过浙江省教育厅对我校的等级平安校园建设考评，为学校最终获5A等级平安校园称号作出了积极的努力。</w:t>
            </w:r>
          </w:p>
          <w:p>
            <w:pPr>
              <w:widowControl w:val="0"/>
              <w:numPr>
                <w:numId w:val="0"/>
              </w:numPr>
              <w:wordWrap/>
              <w:autoSpaceDN w:val="0"/>
              <w:adjustRightInd/>
              <w:snapToGrid/>
              <w:spacing w:before="0" w:beforeLines="0" w:beforeAutospacing="0" w:after="0" w:afterLines="0" w:afterAutospacing="0" w:line="240" w:lineRule="exact"/>
              <w:ind w:left="0" w:leftChars="0" w:right="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bCs w:val="0"/>
                <w:sz w:val="21"/>
                <w:szCs w:val="21"/>
                <w:lang w:val="en-US" w:eastAsia="zh-CN"/>
              </w:rPr>
              <w:t>第二阶段：</w:t>
            </w:r>
            <w:r>
              <w:rPr>
                <w:rFonts w:hint="eastAsia" w:ascii="仿宋_GB2312" w:hAnsi="仿宋_GB2312" w:eastAsia="仿宋_GB2312" w:cs="仿宋_GB2312"/>
                <w:b w:val="0"/>
                <w:bCs/>
                <w:sz w:val="21"/>
                <w:szCs w:val="21"/>
                <w:lang w:val="en-US" w:eastAsia="zh-CN"/>
              </w:rPr>
              <w:t>任职学生工作部副部长后，在部长带领下，主要分管部门办公室、日常事务、心理健康、信息化和安全稳定等工作。</w:t>
            </w:r>
          </w:p>
          <w:p>
            <w:pPr>
              <w:widowControl w:val="0"/>
              <w:numPr>
                <w:ilvl w:val="0"/>
                <w:numId w:val="2"/>
              </w:numPr>
              <w:wordWrap/>
              <w:adjustRightInd/>
              <w:snapToGrid w:val="0"/>
              <w:spacing w:before="0" w:beforeLines="0" w:after="0" w:afterLines="0" w:line="240" w:lineRule="exact"/>
              <w:ind w:left="0" w:leftChars="0" w:right="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认真协调部门办公事务。做好今年6次学工例会、2次学生工作委员会和学生年度表彰大会等的会务工作；协调处理好14封校长信箱来信投诉件；牵头完成了学校《学生事务规程》的梳理、编制工作；配合部长处理好其它各类部门事务性工作。</w:t>
            </w:r>
          </w:p>
          <w:p>
            <w:pPr>
              <w:widowControl w:val="0"/>
              <w:numPr>
                <w:ilvl w:val="0"/>
                <w:numId w:val="2"/>
              </w:numPr>
              <w:wordWrap/>
              <w:adjustRightInd/>
              <w:snapToGrid w:val="0"/>
              <w:spacing w:before="0" w:beforeLines="0" w:after="0" w:afterLines="0" w:line="240" w:lineRule="exact"/>
              <w:ind w:left="0" w:leftChars="0" w:right="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做好在校生短期出国（境）的组织发动工作。起草了《浙江大学宁波理工学院在校生出国（境）资助管理办法（试行）》；分别开展了出国（境）咨询会、分享会，做好出国（境）团队的行前教育和学校资助经费的发放等服务保障工作，开展了一次有针对性的调研和分析工作，今年的短期出国（境）规模达到196人，比2013年增加一倍。</w:t>
            </w:r>
          </w:p>
          <w:p>
            <w:pPr>
              <w:widowControl w:val="0"/>
              <w:numPr>
                <w:ilvl w:val="0"/>
                <w:numId w:val="2"/>
              </w:numPr>
              <w:wordWrap/>
              <w:adjustRightInd/>
              <w:snapToGrid w:val="0"/>
              <w:spacing w:before="0" w:beforeLines="0" w:after="0" w:afterLines="0" w:line="240" w:lineRule="exact"/>
              <w:ind w:left="0" w:leftChars="0" w:right="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做好在校生奖、勤、补、贷、助等事务性工作。今年是在校生奖、勤和综合素质评价等相关制度修订后试行的第一年，为确保制度的贯彻落实，保障学生的利益，在评奖评优等工作中认真听取意见，注重程序透明、公正，大大减少了学生针对评奖评优工作的投诉人次，较为顺利地完成了今年在校生评奖评优工作。经手审核的36起学生各类违纪处分事务中，严格对照学校违纪处分规章制度，充分体现教育与处分相结合的原则，除一起学生申诉（申诉核后维持原处分意见）外，无差错现象。统筹做好学生资助和勤工助学工作，确保国家和学校的各类资助款项真正发挥解困、助学作用。</w:t>
            </w:r>
          </w:p>
          <w:p>
            <w:pPr>
              <w:widowControl w:val="0"/>
              <w:numPr>
                <w:ilvl w:val="0"/>
                <w:numId w:val="2"/>
              </w:numPr>
              <w:wordWrap/>
              <w:adjustRightInd/>
              <w:snapToGrid w:val="0"/>
              <w:spacing w:before="0" w:beforeLines="0" w:after="0" w:afterLines="0" w:line="240" w:lineRule="exact"/>
              <w:ind w:left="0" w:leftChars="0" w:right="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督促做好心理健康咨询、2014级新生心理普查、班级心理委员及辅导员心理培训、危机干预等工作。全年共受理师生心理咨询423人次。</w:t>
            </w:r>
          </w:p>
          <w:p>
            <w:pPr>
              <w:widowControl w:val="0"/>
              <w:numPr>
                <w:ilvl w:val="0"/>
                <w:numId w:val="2"/>
              </w:numPr>
              <w:wordWrap/>
              <w:adjustRightInd/>
              <w:snapToGrid w:val="0"/>
              <w:spacing w:before="0" w:beforeLines="0" w:after="0" w:afterLines="0" w:line="240" w:lineRule="exact"/>
              <w:ind w:left="0" w:leftChars="0" w:right="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全力推进部门信息化工作。在各级领导的支持下，初步搭建起了学生工作信息系统，完善了学生和辅导员等基础信息，部分事务版块功能已正式启用，提高了工作的规范性和信息化程度。</w:t>
            </w:r>
          </w:p>
          <w:p>
            <w:pPr>
              <w:widowControl w:val="0"/>
              <w:numPr>
                <w:ilvl w:val="0"/>
                <w:numId w:val="2"/>
              </w:numPr>
              <w:wordWrap/>
              <w:adjustRightInd/>
              <w:snapToGrid w:val="0"/>
              <w:spacing w:before="0" w:beforeLines="0" w:after="0" w:afterLines="0" w:line="240" w:lineRule="exact"/>
              <w:ind w:left="0" w:leftChars="0" w:right="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认真做好安全稳定工作。开展每学期二次的安全隐患排查，注重五困生群体的排查；做好学生校处住宿、校外活动审核备案工作；做好学生节假日返乡亲返校、晚归不归群体的排查；指导、协助各学院（系）做好22起各类学生个案事件的处置；做好节假日和敏感节日的部门和思政人员值班工作。</w:t>
            </w:r>
          </w:p>
          <w:p>
            <w:pPr>
              <w:widowControl w:val="0"/>
              <w:numPr>
                <w:ilvl w:val="0"/>
                <w:numId w:val="2"/>
              </w:numPr>
              <w:wordWrap/>
              <w:adjustRightInd/>
              <w:snapToGrid w:val="0"/>
              <w:spacing w:before="0" w:beforeLines="0" w:after="0" w:afterLines="0" w:line="240" w:lineRule="exact"/>
              <w:ind w:left="0" w:leftChars="0" w:right="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做好参训部队及参训干部协调、落实和军训物资采购等军训筹备事宜，积极参训。</w:t>
            </w:r>
          </w:p>
          <w:p>
            <w:pPr>
              <w:widowControl w:val="0"/>
              <w:numPr>
                <w:numId w:val="0"/>
              </w:numPr>
              <w:wordWrap/>
              <w:adjustRightInd/>
              <w:snapToGrid w:val="0"/>
              <w:spacing w:before="0" w:beforeLines="0" w:after="0" w:afterLines="0" w:line="240" w:lineRule="exact"/>
              <w:ind w:left="0" w:leftChars="0" w:right="0" w:firstLine="420" w:firstLineChars="200"/>
              <w:jc w:val="both"/>
              <w:textAlignment w:val="auto"/>
              <w:outlineLvl w:val="9"/>
              <w:rPr>
                <w:rFonts w:hint="eastAsia" w:ascii="仿宋_GB2312" w:hAnsi="仿宋_GB2312" w:eastAsia="仿宋_GB2312" w:cs="仿宋_GB2312"/>
                <w:b/>
                <w:bCs w:val="0"/>
                <w:sz w:val="21"/>
                <w:szCs w:val="21"/>
                <w:lang w:val="en-US" w:eastAsia="zh-CN"/>
              </w:rPr>
            </w:pPr>
            <w:r>
              <w:rPr>
                <w:rFonts w:hint="eastAsia" w:ascii="仿宋_GB2312" w:hAnsi="仿宋_GB2312" w:eastAsia="仿宋_GB2312" w:cs="仿宋_GB2312"/>
                <w:b/>
                <w:bCs w:val="0"/>
                <w:sz w:val="21"/>
                <w:szCs w:val="21"/>
                <w:lang w:val="en-US" w:eastAsia="zh-CN"/>
              </w:rPr>
              <w:t>兼职工作</w:t>
            </w:r>
          </w:p>
          <w:p>
            <w:pPr>
              <w:widowControl w:val="0"/>
              <w:numPr>
                <w:numId w:val="0"/>
              </w:numPr>
              <w:wordWrap/>
              <w:adjustRightInd/>
              <w:snapToGrid w:val="0"/>
              <w:spacing w:before="0" w:beforeLines="0" w:after="0" w:afterLines="0" w:line="240" w:lineRule="exact"/>
              <w:ind w:left="0" w:leftChars="0" w:right="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就任机关分工会主席一年来，在学校工会和机关总支指导下，注重工会活动与行政工作、支部工作的有机结合，带领全体分工会委员和工会小组长搭建起QQ、机关分工会微信群等平台；组织开展了五必访活动，开展了摄影、“六一”等文体活动，积极参与运动会、排球、羽毛球、足球等比赛，取得了运动会团体第二和优秀组织奖及羽毛球团体第一的好成绩，为机关团队建设和凝聚力工程作出了努力。</w:t>
            </w:r>
          </w:p>
          <w:p>
            <w:pPr>
              <w:ind w:right="480"/>
              <w:rPr>
                <w:rFonts w:hint="eastAsia" w:eastAsia="宋体"/>
                <w:szCs w:val="21"/>
                <w:lang w:eastAsia="zh-CN"/>
              </w:rPr>
            </w:pPr>
          </w:p>
        </w:tc>
      </w:tr>
    </w:tbl>
    <w:p>
      <w:pPr>
        <w:widowControl/>
        <w:jc w:val="left"/>
        <w:rPr>
          <w:sz w:val="24"/>
        </w:rPr>
        <w:sectPr>
          <w:pgSz w:w="11907" w:h="16840"/>
          <w:pgMar w:top="1418" w:right="1701" w:bottom="1418" w:left="1701" w:header="851" w:footer="992" w:gutter="0"/>
          <w:cols w:space="720" w:num="1"/>
          <w:docGrid w:type="lines" w:linePitch="312" w:charSpace="0"/>
        </w:sectPr>
      </w:pPr>
    </w:p>
    <w:tbl>
      <w:tblPr>
        <w:tblStyle w:val="5"/>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77"/>
        <w:gridCol w:w="1217"/>
        <w:gridCol w:w="1176"/>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752" w:hRule="atLeast"/>
          <w:jc w:val="center"/>
        </w:trPr>
        <w:tc>
          <w:tcPr>
            <w:tcW w:w="8208"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pacing w:line="240" w:lineRule="exact"/>
              <w:ind w:left="0" w:leftChars="0" w:right="0"/>
              <w:jc w:val="both"/>
              <w:textAlignment w:val="auto"/>
              <w:outlineLvl w:val="9"/>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工作作风和廉政建设</w:t>
            </w:r>
          </w:p>
          <w:p>
            <w:pPr>
              <w:widowControl w:val="0"/>
              <w:wordWrap/>
              <w:adjustRightInd/>
              <w:spacing w:line="240" w:lineRule="exact"/>
              <w:ind w:left="0" w:leftChars="0" w:right="0"/>
              <w:jc w:val="both"/>
              <w:textAlignment w:val="auto"/>
              <w:outlineLvl w:val="9"/>
              <w:rPr>
                <w:szCs w:val="21"/>
              </w:rPr>
            </w:pPr>
            <w:r>
              <w:rPr>
                <w:rFonts w:hint="eastAsia"/>
                <w:lang w:val="en-US" w:eastAsia="zh-CN"/>
              </w:rPr>
              <w:t xml:space="preserve">    </w:t>
            </w:r>
            <w:r>
              <w:rPr>
                <w:rFonts w:hint="eastAsia" w:ascii="仿宋_GB2312" w:hAnsi="仿宋_GB2312" w:eastAsia="仿宋_GB2312" w:cs="仿宋_GB2312"/>
                <w:lang w:val="en-US" w:eastAsia="zh-CN"/>
              </w:rPr>
              <w:t>因工作需要，岗位调整后对业务工作有一个熟悉的过程，为此，工作中注重学习和调查研究，积极主动听取师生意见，不搞形式主义；注重部门内部的团结和部门之间协作；涉及学生利益的事务做到既公平、公正，又合理、合规，重要事宜和重大经费支出部门集体讨论、审核，严格按财务要求使用专项经费，杜绝铺张浪费；工作和生活中注重廉洁自律，严格遵守中央八项规定。</w:t>
            </w:r>
          </w:p>
          <w:p>
            <w:pPr>
              <w:rPr>
                <w:szCs w:val="21"/>
              </w:rPr>
            </w:pPr>
          </w:p>
          <w:p>
            <w:pPr>
              <w:rPr>
                <w:szCs w:val="21"/>
              </w:rPr>
            </w:pPr>
            <w:r>
              <w:rPr>
                <w:rFonts w:hint="eastAsia"/>
                <w:szCs w:val="21"/>
              </w:rPr>
              <w:t>进课堂、进寝室情况：</w:t>
            </w:r>
          </w:p>
          <w:p>
            <w:pPr>
              <w:rPr>
                <w:rFonts w:hint="eastAsia" w:eastAsia="宋体"/>
                <w:szCs w:val="21"/>
                <w:lang w:val="en-US" w:eastAsia="zh-CN"/>
              </w:rPr>
            </w:pPr>
            <w:r>
              <w:rPr>
                <w:rFonts w:hint="eastAsia"/>
                <w:szCs w:val="21"/>
                <w:lang w:val="en-US" w:eastAsia="zh-CN"/>
              </w:rPr>
              <w:t xml:space="preserve">   本学期进寝室5次</w:t>
            </w:r>
          </w:p>
          <w:p>
            <w:pPr>
              <w:rPr>
                <w:szCs w:val="21"/>
              </w:rPr>
            </w:pPr>
          </w:p>
          <w:p>
            <w:pPr>
              <w:rPr>
                <w:szCs w:val="21"/>
              </w:rPr>
            </w:pPr>
            <w:r>
              <w:rPr>
                <w:rFonts w:hint="eastAsia"/>
                <w:szCs w:val="21"/>
              </w:rPr>
              <w:t>教学科研简要情况（</w:t>
            </w:r>
            <w:r>
              <w:rPr>
                <w:szCs w:val="21"/>
              </w:rPr>
              <w:t>“</w:t>
            </w:r>
            <w:r>
              <w:rPr>
                <w:rFonts w:hint="eastAsia"/>
                <w:szCs w:val="21"/>
              </w:rPr>
              <w:t>双肩挑</w:t>
            </w:r>
            <w:r>
              <w:rPr>
                <w:szCs w:val="21"/>
              </w:rPr>
              <w:t>”</w:t>
            </w:r>
            <w:r>
              <w:rPr>
                <w:rFonts w:hint="eastAsia"/>
                <w:szCs w:val="21"/>
              </w:rPr>
              <w:t>干部填写）：</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 xml:space="preserve">                                      </w:t>
            </w:r>
            <w:r>
              <w:rPr>
                <w:rFonts w:hint="eastAsia"/>
                <w:szCs w:val="21"/>
              </w:rPr>
              <w:t>本人签名：</w:t>
            </w:r>
            <w:r>
              <w:rPr>
                <w:szCs w:val="21"/>
              </w:rPr>
              <w:t xml:space="preserve">                 </w:t>
            </w:r>
          </w:p>
          <w:p>
            <w:pPr>
              <w:ind w:firstLine="5985" w:firstLineChars="2850"/>
              <w:rPr>
                <w:sz w:val="24"/>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79" w:hRule="atLeast"/>
          <w:jc w:val="center"/>
        </w:trPr>
        <w:tc>
          <w:tcPr>
            <w:tcW w:w="777" w:type="dxa"/>
            <w:vMerge w:val="restar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单</w:t>
            </w:r>
          </w:p>
          <w:p>
            <w:pPr>
              <w:rPr>
                <w:szCs w:val="21"/>
              </w:rPr>
            </w:pPr>
            <w:r>
              <w:rPr>
                <w:rFonts w:hint="eastAsia"/>
                <w:szCs w:val="21"/>
              </w:rPr>
              <w:t>位</w:t>
            </w:r>
          </w:p>
          <w:p>
            <w:pPr>
              <w:rPr>
                <w:szCs w:val="21"/>
              </w:rPr>
            </w:pPr>
            <w:r>
              <w:rPr>
                <w:rFonts w:hint="eastAsia"/>
                <w:szCs w:val="21"/>
              </w:rPr>
              <w:t>考</w:t>
            </w:r>
          </w:p>
          <w:p>
            <w:pPr>
              <w:rPr>
                <w:szCs w:val="21"/>
              </w:rPr>
            </w:pPr>
            <w:r>
              <w:rPr>
                <w:rFonts w:hint="eastAsia"/>
                <w:szCs w:val="21"/>
              </w:rPr>
              <w:t>评</w:t>
            </w:r>
          </w:p>
          <w:p>
            <w:pPr>
              <w:rPr>
                <w:szCs w:val="21"/>
              </w:rPr>
            </w:pPr>
            <w:r>
              <w:rPr>
                <w:rFonts w:hint="eastAsia"/>
                <w:szCs w:val="21"/>
              </w:rPr>
              <w:t>意</w:t>
            </w:r>
          </w:p>
          <w:p>
            <w:pPr>
              <w:rPr>
                <w:szCs w:val="21"/>
              </w:rPr>
            </w:pPr>
            <w:r>
              <w:rPr>
                <w:rFonts w:hint="eastAsia"/>
                <w:szCs w:val="21"/>
              </w:rPr>
              <w:t>见</w:t>
            </w:r>
          </w:p>
        </w:tc>
        <w:tc>
          <w:tcPr>
            <w:tcW w:w="7431" w:type="dxa"/>
            <w:gridSpan w:val="3"/>
            <w:tcBorders>
              <w:top w:val="single" w:color="auto" w:sz="4" w:space="0"/>
              <w:left w:val="single" w:color="auto" w:sz="4" w:space="0"/>
              <w:bottom w:val="nil"/>
              <w:right w:val="single" w:color="auto" w:sz="4" w:space="0"/>
            </w:tcBorders>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8"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建议等级</w:t>
            </w:r>
          </w:p>
        </w:tc>
        <w:tc>
          <w:tcPr>
            <w:tcW w:w="1176"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5038" w:type="dxa"/>
            <w:tcBorders>
              <w:top w:val="nil"/>
              <w:left w:val="single" w:color="auto" w:sz="4" w:space="0"/>
              <w:bottom w:val="single" w:color="auto" w:sz="4" w:space="0"/>
              <w:right w:val="single" w:color="auto" w:sz="4" w:space="0"/>
            </w:tcBorders>
            <w:vAlign w:val="center"/>
          </w:tcPr>
          <w:p>
            <w:pPr>
              <w:rPr>
                <w:szCs w:val="21"/>
              </w:rPr>
            </w:pPr>
            <w:r>
              <w:rPr>
                <w:rFonts w:hint="eastAsia"/>
                <w:szCs w:val="21"/>
              </w:rPr>
              <w:t>负责人签名：</w:t>
            </w:r>
            <w:r>
              <w:rPr>
                <w:szCs w:val="21"/>
              </w:rPr>
              <w:t xml:space="preserve">          </w:t>
            </w:r>
            <w:r>
              <w:rPr>
                <w:rFonts w:hint="eastAsia"/>
                <w:szCs w:val="21"/>
              </w:rPr>
              <w:t>单位（盖章）：</w:t>
            </w:r>
          </w:p>
          <w:p>
            <w:pPr>
              <w:ind w:firstLine="2730" w:firstLineChars="130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1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学</w:t>
            </w:r>
          </w:p>
          <w:p>
            <w:pPr>
              <w:rPr>
                <w:szCs w:val="21"/>
              </w:rPr>
            </w:pPr>
            <w:r>
              <w:rPr>
                <w:rFonts w:hint="eastAsia"/>
                <w:szCs w:val="21"/>
              </w:rPr>
              <w:t>校</w:t>
            </w:r>
          </w:p>
          <w:p>
            <w:pPr>
              <w:rPr>
                <w:szCs w:val="21"/>
              </w:rPr>
            </w:pPr>
            <w:r>
              <w:rPr>
                <w:rFonts w:hint="eastAsia"/>
                <w:szCs w:val="21"/>
              </w:rPr>
              <w:t>意</w:t>
            </w:r>
          </w:p>
          <w:p>
            <w:pPr>
              <w:rPr>
                <w:szCs w:val="21"/>
              </w:rPr>
            </w:pPr>
            <w:r>
              <w:rPr>
                <w:rFonts w:hint="eastAsia"/>
                <w:szCs w:val="21"/>
              </w:rPr>
              <w:t>见</w:t>
            </w:r>
          </w:p>
        </w:tc>
        <w:tc>
          <w:tcPr>
            <w:tcW w:w="7431" w:type="dxa"/>
            <w:gridSpan w:val="3"/>
            <w:tcBorders>
              <w:top w:val="single" w:color="auto" w:sz="4" w:space="0"/>
              <w:left w:val="single" w:color="auto" w:sz="4" w:space="0"/>
              <w:bottom w:val="single" w:color="auto" w:sz="4" w:space="0"/>
              <w:right w:val="single" w:color="auto" w:sz="4" w:space="0"/>
            </w:tcBorders>
            <w:vAlign w:val="bottom"/>
          </w:tcPr>
          <w:p>
            <w:pPr>
              <w:ind w:right="240"/>
              <w:rPr>
                <w:szCs w:val="21"/>
              </w:rPr>
            </w:pPr>
            <w:r>
              <w:rPr>
                <w:szCs w:val="21"/>
              </w:rPr>
              <w:t xml:space="preserve">                                                </w:t>
            </w:r>
            <w:r>
              <w:rPr>
                <w:rFonts w:hint="eastAsia"/>
                <w:szCs w:val="21"/>
              </w:rPr>
              <w:t>（盖章）</w:t>
            </w:r>
          </w:p>
          <w:p>
            <w:pPr>
              <w:ind w:firstLine="5250" w:firstLineChars="250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spacing w:line="320" w:lineRule="exact"/>
      </w:pPr>
      <w:r>
        <w:rPr>
          <w:rFonts w:hint="eastAsia"/>
        </w:rPr>
        <w:t>备注：</w:t>
      </w:r>
      <w:r>
        <w:t>1.</w:t>
      </w:r>
      <w:r>
        <w:rPr>
          <w:rFonts w:hint="eastAsia"/>
        </w:rPr>
        <w:t>本表归入本人档案，请设置为</w:t>
      </w:r>
      <w:r>
        <w:t>A4</w:t>
      </w:r>
      <w:r>
        <w:rPr>
          <w:rFonts w:hint="eastAsia"/>
        </w:rPr>
        <w:t>纸，双面打印；</w:t>
      </w:r>
    </w:p>
    <w:p>
      <w:pPr>
        <w:spacing w:line="320" w:lineRule="exact"/>
        <w:ind w:firstLine="630" w:firstLineChars="300"/>
      </w:pPr>
      <w:r>
        <w:t>2.</w:t>
      </w:r>
      <w:r>
        <w:rPr>
          <w:rFonts w:hint="eastAsia"/>
        </w:rPr>
        <w:t>签名、单位意见需用黑色、蓝黑色墨水钢笔填写；</w:t>
      </w:r>
    </w:p>
    <w:p>
      <w:pPr>
        <w:spacing w:line="320" w:lineRule="exact"/>
        <w:ind w:left="630" w:leftChars="30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E00002FF" w:usb1="4000ACFF"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9036409">
    <w:nsid w:val="5494C6F9"/>
    <w:multiLevelType w:val="singleLevel"/>
    <w:tmpl w:val="5494C6F9"/>
    <w:lvl w:ilvl="0" w:tentative="1">
      <w:start w:val="1"/>
      <w:numFmt w:val="decimal"/>
      <w:suff w:val="nothing"/>
      <w:lvlText w:val="%1."/>
      <w:lvlJc w:val="left"/>
    </w:lvl>
  </w:abstractNum>
  <w:abstractNum w:abstractNumId="1419037638">
    <w:nsid w:val="5494CBC6"/>
    <w:multiLevelType w:val="singleLevel"/>
    <w:tmpl w:val="5494CBC6"/>
    <w:lvl w:ilvl="0" w:tentative="1">
      <w:start w:val="1"/>
      <w:numFmt w:val="decimal"/>
      <w:suff w:val="nothing"/>
      <w:lvlText w:val="%1."/>
      <w:lvlJc w:val="left"/>
    </w:lvl>
  </w:abstractNum>
  <w:num w:numId="1">
    <w:abstractNumId w:val="1419036409"/>
  </w:num>
  <w:num w:numId="2">
    <w:abstractNumId w:val="14190376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72E98"/>
    <w:rsid w:val="00176930"/>
    <w:rsid w:val="001F27C4"/>
    <w:rsid w:val="003A0C1E"/>
    <w:rsid w:val="00772E98"/>
    <w:rsid w:val="007D5B04"/>
    <w:rsid w:val="00A51495"/>
    <w:rsid w:val="00AE502A"/>
    <w:rsid w:val="00B62399"/>
    <w:rsid w:val="6B17037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Words>
  <Characters>461</Characters>
  <Lines>3</Lines>
  <Paragraphs>1</Paragraphs>
  <TotalTime>0</TotalTime>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2014-12-11T03:09:00Z</dcterms:created>
  <dc:creator>zy</dc:creator>
  <cp:lastModifiedBy>Administrator</cp:lastModifiedBy>
  <cp:lastPrinted>2014-12-15T01:53:00Z</cp:lastPrinted>
  <dcterms:modified xsi:type="dcterms:W3CDTF">2014-12-20T03:18:15Z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