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AE3" w:rsidRDefault="00993AE3" w:rsidP="00772E98">
      <w:pPr>
        <w:spacing w:line="400" w:lineRule="exact"/>
        <w:rPr>
          <w:rFonts w:ascii="宋体"/>
          <w:sz w:val="24"/>
        </w:rPr>
      </w:pPr>
      <w:r>
        <w:rPr>
          <w:rFonts w:ascii="宋体" w:hAnsi="宋体" w:hint="eastAsia"/>
          <w:sz w:val="24"/>
        </w:rPr>
        <w:t>附件</w:t>
      </w:r>
      <w:r>
        <w:rPr>
          <w:rFonts w:ascii="宋体" w:hAnsi="宋体"/>
          <w:sz w:val="24"/>
        </w:rPr>
        <w:t>2</w:t>
      </w:r>
      <w:r>
        <w:rPr>
          <w:rFonts w:ascii="宋体" w:hAnsi="宋体" w:hint="eastAsia"/>
          <w:sz w:val="24"/>
        </w:rPr>
        <w:t>：</w:t>
      </w:r>
    </w:p>
    <w:p w:rsidR="00993AE3" w:rsidRDefault="00993AE3" w:rsidP="00772E98">
      <w:pPr>
        <w:spacing w:line="440" w:lineRule="exact"/>
        <w:jc w:val="center"/>
        <w:rPr>
          <w:rFonts w:eastAsia="黑体"/>
          <w:bCs/>
          <w:sz w:val="36"/>
          <w:szCs w:val="36"/>
        </w:rPr>
      </w:pPr>
      <w:r>
        <w:rPr>
          <w:rFonts w:eastAsia="黑体" w:hint="eastAsia"/>
          <w:bCs/>
          <w:sz w:val="36"/>
          <w:szCs w:val="36"/>
        </w:rPr>
        <w:t>浙江大学宁波理工学院中层领导干部年度考核表</w:t>
      </w:r>
    </w:p>
    <w:p w:rsidR="00993AE3" w:rsidRDefault="00993AE3" w:rsidP="00772E98">
      <w:pPr>
        <w:spacing w:line="440" w:lineRule="exact"/>
        <w:jc w:val="center"/>
      </w:pPr>
      <w:r>
        <w:rPr>
          <w:rFonts w:eastAsia="黑体" w:hint="eastAsia"/>
          <w:bCs/>
          <w:sz w:val="36"/>
          <w:szCs w:val="36"/>
        </w:rPr>
        <w:t>（</w:t>
      </w:r>
      <w:r>
        <w:rPr>
          <w:rFonts w:eastAsia="黑体"/>
          <w:bCs/>
          <w:sz w:val="36"/>
          <w:szCs w:val="36"/>
        </w:rPr>
        <w:t>2014</w:t>
      </w:r>
      <w:r>
        <w:rPr>
          <w:rFonts w:eastAsia="黑体" w:hint="eastAsia"/>
          <w:bCs/>
          <w:sz w:val="36"/>
          <w:szCs w:val="36"/>
        </w:rPr>
        <w:t>年）</w:t>
      </w:r>
    </w:p>
    <w:p w:rsidR="00993AE3" w:rsidRDefault="00993AE3" w:rsidP="00772E98">
      <w:pPr>
        <w:spacing w:line="440" w:lineRule="exact"/>
        <w:rPr>
          <w:rFonts w:eastAsia="黑体"/>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698"/>
        <w:gridCol w:w="1260"/>
        <w:gridCol w:w="720"/>
        <w:gridCol w:w="720"/>
        <w:gridCol w:w="720"/>
        <w:gridCol w:w="1260"/>
        <w:gridCol w:w="720"/>
        <w:gridCol w:w="1346"/>
      </w:tblGrid>
      <w:tr w:rsidR="00993AE3" w:rsidTr="003F2C99">
        <w:trPr>
          <w:trHeight w:val="642"/>
          <w:jc w:val="center"/>
        </w:trPr>
        <w:tc>
          <w:tcPr>
            <w:tcW w:w="764" w:type="dxa"/>
            <w:vAlign w:val="center"/>
          </w:tcPr>
          <w:p w:rsidR="00993AE3" w:rsidRDefault="00993AE3" w:rsidP="003F2C99">
            <w:pPr>
              <w:jc w:val="center"/>
              <w:rPr>
                <w:szCs w:val="21"/>
              </w:rPr>
            </w:pPr>
            <w:r>
              <w:rPr>
                <w:rFonts w:hint="eastAsia"/>
                <w:szCs w:val="21"/>
              </w:rPr>
              <w:t>姓名</w:t>
            </w:r>
          </w:p>
        </w:tc>
        <w:tc>
          <w:tcPr>
            <w:tcW w:w="1958" w:type="dxa"/>
            <w:gridSpan w:val="2"/>
            <w:vAlign w:val="center"/>
          </w:tcPr>
          <w:p w:rsidR="00993AE3" w:rsidRDefault="00993AE3" w:rsidP="003F2C99">
            <w:pPr>
              <w:rPr>
                <w:szCs w:val="21"/>
              </w:rPr>
            </w:pPr>
            <w:r>
              <w:rPr>
                <w:rFonts w:hint="eastAsia"/>
                <w:szCs w:val="21"/>
              </w:rPr>
              <w:t>于欣</w:t>
            </w:r>
          </w:p>
        </w:tc>
        <w:tc>
          <w:tcPr>
            <w:tcW w:w="720" w:type="dxa"/>
            <w:vAlign w:val="center"/>
          </w:tcPr>
          <w:p w:rsidR="00993AE3" w:rsidRDefault="00993AE3" w:rsidP="003F2C99">
            <w:pPr>
              <w:jc w:val="center"/>
              <w:rPr>
                <w:szCs w:val="21"/>
              </w:rPr>
            </w:pPr>
            <w:r>
              <w:rPr>
                <w:rFonts w:hint="eastAsia"/>
                <w:szCs w:val="21"/>
              </w:rPr>
              <w:t>性别</w:t>
            </w:r>
          </w:p>
        </w:tc>
        <w:tc>
          <w:tcPr>
            <w:tcW w:w="720" w:type="dxa"/>
            <w:vAlign w:val="center"/>
          </w:tcPr>
          <w:p w:rsidR="00993AE3" w:rsidRDefault="00993AE3" w:rsidP="003F2C99">
            <w:pPr>
              <w:jc w:val="center"/>
              <w:rPr>
                <w:szCs w:val="21"/>
              </w:rPr>
            </w:pPr>
            <w:r>
              <w:rPr>
                <w:rFonts w:hint="eastAsia"/>
                <w:szCs w:val="21"/>
              </w:rPr>
              <w:t>男</w:t>
            </w:r>
          </w:p>
        </w:tc>
        <w:tc>
          <w:tcPr>
            <w:tcW w:w="720" w:type="dxa"/>
            <w:vAlign w:val="center"/>
          </w:tcPr>
          <w:p w:rsidR="00993AE3" w:rsidRDefault="00993AE3" w:rsidP="003F2C99">
            <w:pPr>
              <w:jc w:val="center"/>
              <w:rPr>
                <w:szCs w:val="21"/>
              </w:rPr>
            </w:pPr>
            <w:r>
              <w:rPr>
                <w:rFonts w:hint="eastAsia"/>
                <w:szCs w:val="21"/>
              </w:rPr>
              <w:t>出生</w:t>
            </w:r>
          </w:p>
          <w:p w:rsidR="00993AE3" w:rsidRDefault="00993AE3" w:rsidP="003F2C99">
            <w:pPr>
              <w:jc w:val="center"/>
              <w:rPr>
                <w:szCs w:val="21"/>
              </w:rPr>
            </w:pPr>
            <w:r>
              <w:rPr>
                <w:rFonts w:hint="eastAsia"/>
                <w:szCs w:val="21"/>
              </w:rPr>
              <w:t>年月</w:t>
            </w:r>
          </w:p>
        </w:tc>
        <w:tc>
          <w:tcPr>
            <w:tcW w:w="1260" w:type="dxa"/>
            <w:vAlign w:val="center"/>
          </w:tcPr>
          <w:p w:rsidR="00993AE3" w:rsidRDefault="00993AE3" w:rsidP="003F2C99">
            <w:pPr>
              <w:jc w:val="center"/>
              <w:rPr>
                <w:szCs w:val="21"/>
              </w:rPr>
            </w:pPr>
            <w:r>
              <w:rPr>
                <w:szCs w:val="21"/>
              </w:rPr>
              <w:t>1977.6</w:t>
            </w:r>
          </w:p>
        </w:tc>
        <w:tc>
          <w:tcPr>
            <w:tcW w:w="720" w:type="dxa"/>
            <w:vAlign w:val="center"/>
          </w:tcPr>
          <w:p w:rsidR="00993AE3" w:rsidRDefault="00993AE3" w:rsidP="003F2C99">
            <w:pPr>
              <w:jc w:val="center"/>
              <w:rPr>
                <w:szCs w:val="21"/>
              </w:rPr>
            </w:pPr>
            <w:r>
              <w:rPr>
                <w:rFonts w:hint="eastAsia"/>
                <w:szCs w:val="21"/>
              </w:rPr>
              <w:t>职称</w:t>
            </w:r>
          </w:p>
        </w:tc>
        <w:tc>
          <w:tcPr>
            <w:tcW w:w="1346" w:type="dxa"/>
            <w:vAlign w:val="center"/>
          </w:tcPr>
          <w:p w:rsidR="00993AE3" w:rsidRDefault="00993AE3" w:rsidP="003F2C99">
            <w:pPr>
              <w:jc w:val="center"/>
              <w:rPr>
                <w:szCs w:val="21"/>
              </w:rPr>
            </w:pPr>
            <w:r>
              <w:rPr>
                <w:rFonts w:hint="eastAsia"/>
                <w:szCs w:val="21"/>
              </w:rPr>
              <w:t>副教授</w:t>
            </w:r>
          </w:p>
        </w:tc>
      </w:tr>
      <w:tr w:rsidR="00993AE3" w:rsidTr="003F2C99">
        <w:trPr>
          <w:trHeight w:val="330"/>
          <w:jc w:val="center"/>
        </w:trPr>
        <w:tc>
          <w:tcPr>
            <w:tcW w:w="1462" w:type="dxa"/>
            <w:gridSpan w:val="2"/>
            <w:vAlign w:val="center"/>
          </w:tcPr>
          <w:p w:rsidR="00993AE3" w:rsidRDefault="00993AE3" w:rsidP="003F2C99">
            <w:pPr>
              <w:rPr>
                <w:szCs w:val="21"/>
              </w:rPr>
            </w:pPr>
            <w:r>
              <w:rPr>
                <w:rFonts w:hint="eastAsia"/>
                <w:szCs w:val="21"/>
              </w:rPr>
              <w:t>单位及职务</w:t>
            </w:r>
          </w:p>
        </w:tc>
        <w:tc>
          <w:tcPr>
            <w:tcW w:w="4680" w:type="dxa"/>
            <w:gridSpan w:val="5"/>
            <w:vAlign w:val="center"/>
          </w:tcPr>
          <w:p w:rsidR="00993AE3" w:rsidRDefault="00993AE3" w:rsidP="003F2C99">
            <w:pPr>
              <w:jc w:val="center"/>
              <w:rPr>
                <w:szCs w:val="21"/>
              </w:rPr>
            </w:pPr>
            <w:r>
              <w:rPr>
                <w:rFonts w:hint="eastAsia"/>
                <w:szCs w:val="21"/>
              </w:rPr>
              <w:t>信息科学与工程学院副院长</w:t>
            </w:r>
          </w:p>
        </w:tc>
        <w:tc>
          <w:tcPr>
            <w:tcW w:w="720" w:type="dxa"/>
            <w:vAlign w:val="center"/>
          </w:tcPr>
          <w:p w:rsidR="00993AE3" w:rsidRDefault="00993AE3" w:rsidP="003F2C99">
            <w:pPr>
              <w:jc w:val="center"/>
              <w:rPr>
                <w:szCs w:val="21"/>
              </w:rPr>
            </w:pPr>
            <w:r>
              <w:rPr>
                <w:rFonts w:hint="eastAsia"/>
                <w:szCs w:val="21"/>
              </w:rPr>
              <w:t>任职</w:t>
            </w:r>
          </w:p>
          <w:p w:rsidR="00993AE3" w:rsidRDefault="00993AE3" w:rsidP="003F2C99">
            <w:pPr>
              <w:jc w:val="center"/>
              <w:rPr>
                <w:szCs w:val="21"/>
              </w:rPr>
            </w:pPr>
            <w:r>
              <w:rPr>
                <w:rFonts w:hint="eastAsia"/>
                <w:szCs w:val="21"/>
              </w:rPr>
              <w:t>时间</w:t>
            </w:r>
          </w:p>
        </w:tc>
        <w:tc>
          <w:tcPr>
            <w:tcW w:w="1346" w:type="dxa"/>
            <w:vAlign w:val="center"/>
          </w:tcPr>
          <w:p w:rsidR="00993AE3" w:rsidRDefault="00993AE3" w:rsidP="003F2C99">
            <w:pPr>
              <w:jc w:val="center"/>
              <w:rPr>
                <w:szCs w:val="21"/>
              </w:rPr>
            </w:pPr>
            <w:r>
              <w:rPr>
                <w:szCs w:val="21"/>
              </w:rPr>
              <w:t>2011</w:t>
            </w:r>
          </w:p>
        </w:tc>
      </w:tr>
      <w:tr w:rsidR="00993AE3" w:rsidTr="003F2C99">
        <w:trPr>
          <w:cantSplit/>
          <w:trHeight w:val="10580"/>
          <w:jc w:val="center"/>
        </w:trPr>
        <w:tc>
          <w:tcPr>
            <w:tcW w:w="8208" w:type="dxa"/>
            <w:gridSpan w:val="9"/>
          </w:tcPr>
          <w:p w:rsidR="00993AE3" w:rsidRDefault="00993AE3" w:rsidP="003F2C99">
            <w:pPr>
              <w:rPr>
                <w:szCs w:val="21"/>
              </w:rPr>
            </w:pPr>
            <w:r>
              <w:rPr>
                <w:rFonts w:hint="eastAsia"/>
                <w:szCs w:val="21"/>
              </w:rPr>
              <w:t>工作业绩（自评）</w:t>
            </w:r>
          </w:p>
          <w:p w:rsidR="00993AE3" w:rsidRDefault="00993AE3" w:rsidP="003F2C99">
            <w:pPr>
              <w:rPr>
                <w:szCs w:val="21"/>
              </w:rPr>
            </w:pPr>
            <w:r>
              <w:rPr>
                <w:rFonts w:hint="eastAsia"/>
                <w:szCs w:val="21"/>
              </w:rPr>
              <w:t>管理工作：</w:t>
            </w:r>
          </w:p>
          <w:p w:rsidR="00993AE3" w:rsidRPr="008A6514" w:rsidRDefault="00993AE3" w:rsidP="00993AE3">
            <w:pPr>
              <w:ind w:firstLineChars="150" w:firstLine="31680"/>
              <w:rPr>
                <w:rFonts w:ascii="宋体"/>
                <w:szCs w:val="21"/>
              </w:rPr>
            </w:pPr>
            <w:r w:rsidRPr="008A6514">
              <w:rPr>
                <w:rFonts w:ascii="宋体" w:hAnsi="宋体" w:hint="eastAsia"/>
                <w:szCs w:val="21"/>
              </w:rPr>
              <w:t>本人主要负责信息</w:t>
            </w:r>
            <w:r>
              <w:rPr>
                <w:rFonts w:ascii="宋体" w:hAnsi="宋体" w:hint="eastAsia"/>
                <w:szCs w:val="21"/>
              </w:rPr>
              <w:t>学院</w:t>
            </w:r>
            <w:r w:rsidRPr="008A6514">
              <w:rPr>
                <w:rFonts w:ascii="宋体" w:hAnsi="宋体" w:hint="eastAsia"/>
                <w:szCs w:val="21"/>
              </w:rPr>
              <w:t>教学工作</w:t>
            </w:r>
            <w:r>
              <w:rPr>
                <w:rFonts w:ascii="宋体" w:hAnsi="宋体" w:hint="eastAsia"/>
                <w:szCs w:val="21"/>
              </w:rPr>
              <w:t>，</w:t>
            </w:r>
            <w:r w:rsidRPr="008A6514">
              <w:rPr>
                <w:rFonts w:ascii="宋体" w:hAnsi="宋体" w:hint="eastAsia"/>
                <w:szCs w:val="21"/>
              </w:rPr>
              <w:t>下面就一年来管理工作的情况做以</w:t>
            </w:r>
            <w:r>
              <w:rPr>
                <w:rFonts w:ascii="宋体" w:hAnsi="宋体" w:hint="eastAsia"/>
                <w:szCs w:val="21"/>
              </w:rPr>
              <w:t>下</w:t>
            </w:r>
            <w:r w:rsidRPr="008A6514">
              <w:rPr>
                <w:rFonts w:ascii="宋体" w:hAnsi="宋体" w:hint="eastAsia"/>
                <w:szCs w:val="21"/>
              </w:rPr>
              <w:t>总结</w:t>
            </w:r>
            <w:r>
              <w:rPr>
                <w:rFonts w:ascii="宋体" w:hAnsi="宋体" w:hint="eastAsia"/>
                <w:szCs w:val="21"/>
              </w:rPr>
              <w:t>：</w:t>
            </w:r>
          </w:p>
          <w:p w:rsidR="00993AE3" w:rsidRPr="0092647C" w:rsidRDefault="00993AE3" w:rsidP="00EA129E">
            <w:pPr>
              <w:autoSpaceDE w:val="0"/>
              <w:autoSpaceDN w:val="0"/>
              <w:adjustRightInd w:val="0"/>
              <w:rPr>
                <w:szCs w:val="21"/>
              </w:rPr>
            </w:pPr>
            <w:r>
              <w:rPr>
                <w:rFonts w:hint="eastAsia"/>
                <w:szCs w:val="21"/>
              </w:rPr>
              <w:t>一、</w:t>
            </w:r>
            <w:r w:rsidRPr="0092647C">
              <w:rPr>
                <w:rFonts w:hint="eastAsia"/>
                <w:szCs w:val="21"/>
              </w:rPr>
              <w:t>专业建设</w:t>
            </w:r>
            <w:r>
              <w:rPr>
                <w:rFonts w:hint="eastAsia"/>
                <w:szCs w:val="21"/>
              </w:rPr>
              <w:t>方面</w:t>
            </w:r>
          </w:p>
          <w:p w:rsidR="00993AE3" w:rsidRPr="00F918C0" w:rsidRDefault="00993AE3" w:rsidP="00EA129E">
            <w:pPr>
              <w:autoSpaceDE w:val="0"/>
              <w:autoSpaceDN w:val="0"/>
              <w:adjustRightInd w:val="0"/>
              <w:rPr>
                <w:szCs w:val="21"/>
              </w:rPr>
            </w:pPr>
            <w:r w:rsidRPr="0092647C">
              <w:rPr>
                <w:szCs w:val="21"/>
              </w:rPr>
              <w:t>1</w:t>
            </w:r>
            <w:r w:rsidRPr="0092647C">
              <w:rPr>
                <w:rFonts w:hint="eastAsia"/>
                <w:szCs w:val="21"/>
              </w:rPr>
              <w:t>、</w:t>
            </w:r>
            <w:bookmarkStart w:id="0" w:name="OLE_LINK4"/>
            <w:r>
              <w:rPr>
                <w:rFonts w:hint="eastAsia"/>
                <w:szCs w:val="21"/>
              </w:rPr>
              <w:t>大力推动专业建设，</w:t>
            </w:r>
            <w:bookmarkStart w:id="1" w:name="OLE_LINK1"/>
            <w:bookmarkEnd w:id="0"/>
            <w:r>
              <w:rPr>
                <w:rFonts w:hint="eastAsia"/>
                <w:szCs w:val="21"/>
              </w:rPr>
              <w:t>自动化和计算机两个专业入选浙江省</w:t>
            </w:r>
            <w:r w:rsidRPr="001D2D18">
              <w:rPr>
                <w:szCs w:val="21"/>
              </w:rPr>
              <w:t>“</w:t>
            </w:r>
            <w:r w:rsidRPr="001D2D18">
              <w:rPr>
                <w:rFonts w:hint="eastAsia"/>
                <w:szCs w:val="21"/>
              </w:rPr>
              <w:t>十二五</w:t>
            </w:r>
            <w:r w:rsidRPr="001D2D18">
              <w:rPr>
                <w:szCs w:val="21"/>
              </w:rPr>
              <w:t>”</w:t>
            </w:r>
            <w:r w:rsidRPr="001D2D18">
              <w:rPr>
                <w:rFonts w:hint="eastAsia"/>
                <w:szCs w:val="21"/>
              </w:rPr>
              <w:t>普通本科高校新兴特色专业建设项目</w:t>
            </w:r>
            <w:bookmarkEnd w:id="1"/>
            <w:r>
              <w:rPr>
                <w:rFonts w:hint="eastAsia"/>
                <w:szCs w:val="21"/>
              </w:rPr>
              <w:t>。</w:t>
            </w:r>
          </w:p>
          <w:p w:rsidR="00993AE3" w:rsidRPr="001D2D18" w:rsidRDefault="00993AE3" w:rsidP="001D2D18">
            <w:pPr>
              <w:autoSpaceDE w:val="0"/>
              <w:autoSpaceDN w:val="0"/>
              <w:adjustRightInd w:val="0"/>
              <w:rPr>
                <w:szCs w:val="21"/>
              </w:rPr>
            </w:pPr>
            <w:r w:rsidRPr="0092647C">
              <w:rPr>
                <w:szCs w:val="21"/>
              </w:rPr>
              <w:t>2</w:t>
            </w:r>
            <w:r w:rsidRPr="0092647C">
              <w:rPr>
                <w:rFonts w:hint="eastAsia"/>
                <w:szCs w:val="21"/>
              </w:rPr>
              <w:t>、大力推进教研</w:t>
            </w:r>
            <w:r>
              <w:rPr>
                <w:rFonts w:hint="eastAsia"/>
                <w:szCs w:val="21"/>
              </w:rPr>
              <w:t>与</w:t>
            </w:r>
            <w:r w:rsidRPr="0092647C">
              <w:rPr>
                <w:rFonts w:hint="eastAsia"/>
                <w:szCs w:val="21"/>
              </w:rPr>
              <w:t>教学改革工作，提升教育教学质量。</w:t>
            </w:r>
            <w:r>
              <w:rPr>
                <w:rFonts w:hint="eastAsia"/>
                <w:szCs w:val="21"/>
              </w:rPr>
              <w:t>学院教师获得</w:t>
            </w:r>
            <w:r w:rsidRPr="001D2D18">
              <w:rPr>
                <w:szCs w:val="21"/>
              </w:rPr>
              <w:t>1</w:t>
            </w:r>
            <w:r w:rsidRPr="001D2D18">
              <w:rPr>
                <w:rFonts w:hint="eastAsia"/>
                <w:szCs w:val="21"/>
              </w:rPr>
              <w:t>项全国教育信息技术研究</w:t>
            </w:r>
            <w:r w:rsidRPr="001D2D18">
              <w:rPr>
                <w:szCs w:val="21"/>
              </w:rPr>
              <w:t>“</w:t>
            </w:r>
            <w:r w:rsidRPr="001D2D18">
              <w:rPr>
                <w:rFonts w:hint="eastAsia"/>
                <w:szCs w:val="21"/>
              </w:rPr>
              <w:t>十二五</w:t>
            </w:r>
            <w:r w:rsidRPr="001D2D18">
              <w:rPr>
                <w:szCs w:val="21"/>
              </w:rPr>
              <w:t>”</w:t>
            </w:r>
            <w:r w:rsidRPr="001D2D18">
              <w:rPr>
                <w:rFonts w:hint="eastAsia"/>
                <w:szCs w:val="21"/>
              </w:rPr>
              <w:t>规划课题，</w:t>
            </w:r>
            <w:r w:rsidRPr="001D2D18">
              <w:rPr>
                <w:szCs w:val="21"/>
              </w:rPr>
              <w:t>2</w:t>
            </w:r>
            <w:r w:rsidRPr="001D2D18">
              <w:rPr>
                <w:rFonts w:hint="eastAsia"/>
                <w:szCs w:val="21"/>
              </w:rPr>
              <w:t>项浙江省教育技术研究规划课题，</w:t>
            </w:r>
            <w:r w:rsidRPr="001D2D18">
              <w:rPr>
                <w:szCs w:val="21"/>
              </w:rPr>
              <w:t>2</w:t>
            </w:r>
            <w:r w:rsidRPr="001D2D18">
              <w:rPr>
                <w:rFonts w:hint="eastAsia"/>
                <w:szCs w:val="21"/>
              </w:rPr>
              <w:t>项宁波是教育科学规划课题。</w:t>
            </w:r>
            <w:r w:rsidRPr="001D2D18">
              <w:rPr>
                <w:szCs w:val="21"/>
              </w:rPr>
              <w:t xml:space="preserve"> </w:t>
            </w:r>
          </w:p>
          <w:p w:rsidR="00993AE3" w:rsidRDefault="00993AE3" w:rsidP="00EA129E">
            <w:pPr>
              <w:autoSpaceDE w:val="0"/>
              <w:autoSpaceDN w:val="0"/>
              <w:adjustRightInd w:val="0"/>
              <w:rPr>
                <w:szCs w:val="21"/>
              </w:rPr>
            </w:pPr>
            <w:r w:rsidRPr="0092647C">
              <w:rPr>
                <w:szCs w:val="21"/>
              </w:rPr>
              <w:t>3</w:t>
            </w:r>
            <w:r w:rsidRPr="0092647C">
              <w:rPr>
                <w:rFonts w:hint="eastAsia"/>
                <w:szCs w:val="21"/>
              </w:rPr>
              <w:t>、深化实践教学体系建设，提高学生实践能力</w:t>
            </w:r>
            <w:r>
              <w:rPr>
                <w:rFonts w:hint="eastAsia"/>
                <w:szCs w:val="21"/>
              </w:rPr>
              <w:t>。</w:t>
            </w:r>
            <w:r w:rsidRPr="0092647C">
              <w:rPr>
                <w:szCs w:val="21"/>
              </w:rPr>
              <w:t xml:space="preserve"> </w:t>
            </w:r>
            <w:r>
              <w:rPr>
                <w:rFonts w:hint="eastAsia"/>
                <w:szCs w:val="21"/>
              </w:rPr>
              <w:t>各</w:t>
            </w:r>
            <w:r w:rsidRPr="0092647C">
              <w:rPr>
                <w:rFonts w:hint="eastAsia"/>
                <w:szCs w:val="21"/>
              </w:rPr>
              <w:t>专业结合</w:t>
            </w:r>
            <w:r w:rsidRPr="0092647C">
              <w:rPr>
                <w:szCs w:val="21"/>
              </w:rPr>
              <w:t xml:space="preserve">CDIO </w:t>
            </w:r>
            <w:r w:rsidRPr="0092647C">
              <w:rPr>
                <w:rFonts w:hint="eastAsia"/>
                <w:szCs w:val="21"/>
              </w:rPr>
              <w:t>等先进工程教育理念，形成各具特色的实践教学体系，如电子信息工程</w:t>
            </w:r>
            <w:r w:rsidRPr="0092647C">
              <w:rPr>
                <w:szCs w:val="21"/>
              </w:rPr>
              <w:t>/</w:t>
            </w:r>
            <w:r w:rsidRPr="0092647C">
              <w:rPr>
                <w:rFonts w:hint="eastAsia"/>
                <w:szCs w:val="21"/>
              </w:rPr>
              <w:t>通信工程专业的开放式实践教学体系，信计专业的基于任务激励的实践教学体系，自动化专业“四维一体”递进式实践教学体系，计算机类专业的立体式多元化实践教学体系。</w:t>
            </w:r>
          </w:p>
          <w:p w:rsidR="00993AE3" w:rsidRPr="0092647C" w:rsidRDefault="00993AE3" w:rsidP="00EA129E">
            <w:pPr>
              <w:autoSpaceDE w:val="0"/>
              <w:autoSpaceDN w:val="0"/>
              <w:adjustRightInd w:val="0"/>
              <w:rPr>
                <w:szCs w:val="21"/>
              </w:rPr>
            </w:pPr>
            <w:r>
              <w:rPr>
                <w:rFonts w:hint="eastAsia"/>
                <w:szCs w:val="21"/>
              </w:rPr>
              <w:t>二、人才培养方面</w:t>
            </w:r>
          </w:p>
          <w:p w:rsidR="00993AE3" w:rsidRPr="001101FB" w:rsidRDefault="00993AE3" w:rsidP="00EA129E">
            <w:pPr>
              <w:autoSpaceDE w:val="0"/>
              <w:autoSpaceDN w:val="0"/>
              <w:adjustRightInd w:val="0"/>
              <w:rPr>
                <w:szCs w:val="21"/>
              </w:rPr>
            </w:pPr>
            <w:r w:rsidRPr="001101FB">
              <w:rPr>
                <w:szCs w:val="21"/>
              </w:rPr>
              <w:t>1.</w:t>
            </w:r>
            <w:bookmarkStart w:id="2" w:name="OLE_LINK5"/>
            <w:r w:rsidRPr="001101FB">
              <w:rPr>
                <w:rFonts w:hint="eastAsia"/>
                <w:szCs w:val="21"/>
              </w:rPr>
              <w:t>人才培养质量</w:t>
            </w:r>
            <w:r>
              <w:rPr>
                <w:rFonts w:hint="eastAsia"/>
                <w:szCs w:val="21"/>
              </w:rPr>
              <w:t>较高</w:t>
            </w:r>
            <w:r w:rsidRPr="001101FB">
              <w:rPr>
                <w:rFonts w:hint="eastAsia"/>
                <w:szCs w:val="21"/>
              </w:rPr>
              <w:t>，</w:t>
            </w:r>
            <w:bookmarkStart w:id="3" w:name="OLE_LINK2"/>
            <w:bookmarkEnd w:id="2"/>
            <w:r w:rsidRPr="00C957A5">
              <w:rPr>
                <w:rFonts w:hint="eastAsia"/>
                <w:szCs w:val="21"/>
              </w:rPr>
              <w:t>信息科学与工程学院在</w:t>
            </w:r>
            <w:r w:rsidRPr="00C957A5">
              <w:rPr>
                <w:szCs w:val="21"/>
              </w:rPr>
              <w:t>2013</w:t>
            </w:r>
            <w:r w:rsidRPr="00C957A5">
              <w:rPr>
                <w:rFonts w:hint="eastAsia"/>
                <w:szCs w:val="21"/>
              </w:rPr>
              <w:t>年度各</w:t>
            </w:r>
            <w:r>
              <w:rPr>
                <w:rFonts w:hint="eastAsia"/>
                <w:szCs w:val="21"/>
              </w:rPr>
              <w:t>教学单位（含基础部）</w:t>
            </w:r>
            <w:r w:rsidRPr="00C957A5">
              <w:rPr>
                <w:rFonts w:hint="eastAsia"/>
                <w:szCs w:val="21"/>
              </w:rPr>
              <w:t>人才培养质量评价中总得分排名</w:t>
            </w:r>
            <w:r>
              <w:rPr>
                <w:rFonts w:hint="eastAsia"/>
                <w:szCs w:val="21"/>
              </w:rPr>
              <w:t>全校</w:t>
            </w:r>
            <w:r w:rsidRPr="00C957A5">
              <w:rPr>
                <w:rFonts w:hint="eastAsia"/>
                <w:szCs w:val="21"/>
              </w:rPr>
              <w:t>第</w:t>
            </w:r>
            <w:r>
              <w:rPr>
                <w:szCs w:val="21"/>
              </w:rPr>
              <w:t>1</w:t>
            </w:r>
            <w:bookmarkEnd w:id="3"/>
            <w:r w:rsidRPr="001101FB">
              <w:rPr>
                <w:rFonts w:hint="eastAsia"/>
                <w:szCs w:val="21"/>
              </w:rPr>
              <w:t>。</w:t>
            </w:r>
          </w:p>
          <w:p w:rsidR="00993AE3" w:rsidRPr="001101FB" w:rsidRDefault="00993AE3" w:rsidP="00EA129E">
            <w:pPr>
              <w:autoSpaceDE w:val="0"/>
              <w:autoSpaceDN w:val="0"/>
              <w:adjustRightInd w:val="0"/>
              <w:rPr>
                <w:szCs w:val="21"/>
              </w:rPr>
            </w:pPr>
            <w:r w:rsidRPr="001101FB">
              <w:rPr>
                <w:szCs w:val="21"/>
              </w:rPr>
              <w:t xml:space="preserve">2. </w:t>
            </w:r>
            <w:r>
              <w:rPr>
                <w:rFonts w:hint="eastAsia"/>
                <w:szCs w:val="21"/>
              </w:rPr>
              <w:t>积极推进</w:t>
            </w:r>
            <w:r w:rsidRPr="001101FB">
              <w:rPr>
                <w:rFonts w:hint="eastAsia"/>
                <w:szCs w:val="21"/>
              </w:rPr>
              <w:t>教育国际化，</w:t>
            </w:r>
            <w:r>
              <w:rPr>
                <w:rFonts w:hint="eastAsia"/>
                <w:szCs w:val="21"/>
              </w:rPr>
              <w:t>开展</w:t>
            </w:r>
            <w:r w:rsidRPr="001101FB">
              <w:rPr>
                <w:rFonts w:hint="eastAsia"/>
                <w:szCs w:val="21"/>
              </w:rPr>
              <w:t>多层次多角度对外交流。</w:t>
            </w:r>
            <w:r w:rsidRPr="001101FB">
              <w:rPr>
                <w:szCs w:val="21"/>
              </w:rPr>
              <w:t>201</w:t>
            </w:r>
            <w:r>
              <w:rPr>
                <w:szCs w:val="21"/>
              </w:rPr>
              <w:t>4</w:t>
            </w:r>
            <w:r w:rsidRPr="001101FB">
              <w:rPr>
                <w:rFonts w:hint="eastAsia"/>
                <w:szCs w:val="21"/>
              </w:rPr>
              <w:t>年</w:t>
            </w:r>
            <w:r>
              <w:rPr>
                <w:rFonts w:hint="eastAsia"/>
                <w:szCs w:val="21"/>
              </w:rPr>
              <w:t>暑假</w:t>
            </w:r>
            <w:r w:rsidRPr="001101FB">
              <w:rPr>
                <w:rFonts w:hint="eastAsia"/>
                <w:szCs w:val="21"/>
              </w:rPr>
              <w:t>学院</w:t>
            </w:r>
            <w:r w:rsidRPr="001101FB">
              <w:rPr>
                <w:szCs w:val="21"/>
              </w:rPr>
              <w:t>29</w:t>
            </w:r>
            <w:r w:rsidRPr="001101FB">
              <w:rPr>
                <w:rFonts w:hint="eastAsia"/>
                <w:szCs w:val="21"/>
              </w:rPr>
              <w:t>名同学和</w:t>
            </w:r>
            <w:r w:rsidRPr="001101FB">
              <w:rPr>
                <w:szCs w:val="21"/>
              </w:rPr>
              <w:t>1</w:t>
            </w:r>
            <w:r w:rsidRPr="001101FB">
              <w:rPr>
                <w:rFonts w:hint="eastAsia"/>
                <w:szCs w:val="21"/>
              </w:rPr>
              <w:t>名带队老师赴台湾中华大学进行了为期</w:t>
            </w:r>
            <w:r w:rsidRPr="001101FB">
              <w:rPr>
                <w:szCs w:val="21"/>
              </w:rPr>
              <w:t>2</w:t>
            </w:r>
            <w:r>
              <w:rPr>
                <w:szCs w:val="21"/>
              </w:rPr>
              <w:t>0</w:t>
            </w:r>
            <w:r w:rsidRPr="001101FB">
              <w:rPr>
                <w:rFonts w:hint="eastAsia"/>
                <w:szCs w:val="21"/>
              </w:rPr>
              <w:t>天的暑期短期交流项目，</w:t>
            </w:r>
            <w:r>
              <w:rPr>
                <w:rFonts w:hint="eastAsia"/>
                <w:szCs w:val="21"/>
              </w:rPr>
              <w:t>开展</w:t>
            </w:r>
            <w:r w:rsidRPr="001101FB">
              <w:rPr>
                <w:rFonts w:hint="eastAsia"/>
                <w:szCs w:val="21"/>
              </w:rPr>
              <w:t>中华大学的交换生项目，</w:t>
            </w:r>
            <w:r w:rsidRPr="001101FB">
              <w:rPr>
                <w:szCs w:val="21"/>
              </w:rPr>
              <w:t>2014</w:t>
            </w:r>
            <w:r w:rsidRPr="001101FB">
              <w:rPr>
                <w:rFonts w:hint="eastAsia"/>
                <w:szCs w:val="21"/>
              </w:rPr>
              <w:t>年</w:t>
            </w:r>
            <w:r w:rsidRPr="001101FB">
              <w:rPr>
                <w:szCs w:val="21"/>
              </w:rPr>
              <w:t>2</w:t>
            </w:r>
            <w:r>
              <w:rPr>
                <w:rFonts w:hint="eastAsia"/>
                <w:szCs w:val="21"/>
              </w:rPr>
              <w:t>月－</w:t>
            </w:r>
            <w:r>
              <w:rPr>
                <w:szCs w:val="21"/>
              </w:rPr>
              <w:t>6</w:t>
            </w:r>
            <w:r>
              <w:rPr>
                <w:rFonts w:hint="eastAsia"/>
                <w:szCs w:val="21"/>
              </w:rPr>
              <w:t>月</w:t>
            </w:r>
            <w:r w:rsidRPr="001101FB">
              <w:rPr>
                <w:rFonts w:hint="eastAsia"/>
                <w:szCs w:val="21"/>
              </w:rPr>
              <w:t>，有</w:t>
            </w:r>
            <w:r w:rsidRPr="001101FB">
              <w:rPr>
                <w:szCs w:val="21"/>
              </w:rPr>
              <w:t>4</w:t>
            </w:r>
            <w:r w:rsidRPr="001101FB">
              <w:rPr>
                <w:rFonts w:hint="eastAsia"/>
                <w:szCs w:val="21"/>
              </w:rPr>
              <w:t>名同学赴中华大学交流学习一学期。学院继续推进与女王大学电子电气工程与计算机学院的人才培养合作</w:t>
            </w:r>
            <w:r>
              <w:rPr>
                <w:rFonts w:hint="eastAsia"/>
                <w:szCs w:val="21"/>
              </w:rPr>
              <w:t>，有</w:t>
            </w:r>
            <w:r>
              <w:rPr>
                <w:szCs w:val="21"/>
              </w:rPr>
              <w:t>3</w:t>
            </w:r>
            <w:r>
              <w:rPr>
                <w:rFonts w:hint="eastAsia"/>
                <w:szCs w:val="21"/>
              </w:rPr>
              <w:t>人参加该项目。</w:t>
            </w:r>
            <w:r w:rsidRPr="001101FB">
              <w:rPr>
                <w:rFonts w:hint="eastAsia"/>
                <w:szCs w:val="21"/>
              </w:rPr>
              <w:t>学院还</w:t>
            </w:r>
            <w:r>
              <w:rPr>
                <w:rFonts w:hint="eastAsia"/>
                <w:szCs w:val="21"/>
              </w:rPr>
              <w:t>启动了</w:t>
            </w:r>
            <w:r w:rsidRPr="001101FB">
              <w:rPr>
                <w:rFonts w:hint="eastAsia"/>
                <w:szCs w:val="21"/>
              </w:rPr>
              <w:t>与爱尔兰都柏林理工学院</w:t>
            </w:r>
            <w:r>
              <w:rPr>
                <w:rFonts w:hint="eastAsia"/>
                <w:szCs w:val="21"/>
              </w:rPr>
              <w:t>、英国普利茅斯大学</w:t>
            </w:r>
            <w:r w:rsidRPr="001101FB">
              <w:rPr>
                <w:rFonts w:hint="eastAsia"/>
                <w:szCs w:val="21"/>
              </w:rPr>
              <w:t>的交流合作项目。</w:t>
            </w:r>
          </w:p>
          <w:p w:rsidR="00993AE3" w:rsidRPr="004929EA" w:rsidRDefault="00993AE3" w:rsidP="00EA129E">
            <w:pPr>
              <w:autoSpaceDE w:val="0"/>
              <w:autoSpaceDN w:val="0"/>
              <w:adjustRightInd w:val="0"/>
              <w:rPr>
                <w:szCs w:val="21"/>
              </w:rPr>
            </w:pPr>
            <w:r>
              <w:rPr>
                <w:szCs w:val="21"/>
              </w:rPr>
              <w:t>3.</w:t>
            </w:r>
            <w:r>
              <w:rPr>
                <w:rFonts w:hint="eastAsia"/>
                <w:szCs w:val="21"/>
              </w:rPr>
              <w:t>推进</w:t>
            </w:r>
            <w:r w:rsidRPr="004929EA">
              <w:rPr>
                <w:rFonts w:hint="eastAsia"/>
                <w:szCs w:val="21"/>
              </w:rPr>
              <w:t>开放式人才培养模式，通过校企合作办学、聘请企业参与人才培养过程、与企业共建联合实验室等形式，</w:t>
            </w:r>
            <w:r>
              <w:rPr>
                <w:rFonts w:hint="eastAsia"/>
                <w:szCs w:val="21"/>
              </w:rPr>
              <w:t>合力促进人才培养</w:t>
            </w:r>
            <w:r w:rsidRPr="004929EA">
              <w:rPr>
                <w:rFonts w:hint="eastAsia"/>
                <w:szCs w:val="21"/>
              </w:rPr>
              <w:t>。</w:t>
            </w:r>
            <w:r>
              <w:rPr>
                <w:szCs w:val="21"/>
              </w:rPr>
              <w:t>2014</w:t>
            </w:r>
            <w:r>
              <w:rPr>
                <w:rFonts w:hint="eastAsia"/>
                <w:szCs w:val="21"/>
              </w:rPr>
              <w:t>年暑假，</w:t>
            </w:r>
            <w:r w:rsidRPr="004929EA">
              <w:rPr>
                <w:rFonts w:hint="eastAsia"/>
                <w:szCs w:val="21"/>
              </w:rPr>
              <w:t>与达内集团</w:t>
            </w:r>
            <w:r>
              <w:rPr>
                <w:rFonts w:hint="eastAsia"/>
                <w:szCs w:val="21"/>
              </w:rPr>
              <w:t>、</w:t>
            </w:r>
            <w:r w:rsidRPr="004929EA">
              <w:rPr>
                <w:rFonts w:hint="eastAsia"/>
                <w:szCs w:val="21"/>
              </w:rPr>
              <w:t>北大青鸟</w:t>
            </w:r>
            <w:r>
              <w:rPr>
                <w:rFonts w:hint="eastAsia"/>
                <w:szCs w:val="21"/>
              </w:rPr>
              <w:t>、千锋科技、宁波乐道等</w:t>
            </w:r>
            <w:r w:rsidRPr="004929EA">
              <w:rPr>
                <w:rFonts w:hint="eastAsia"/>
                <w:szCs w:val="21"/>
              </w:rPr>
              <w:t>开展与就业相结合的暑期短学期培训项目，参与培训学生达</w:t>
            </w:r>
            <w:r>
              <w:rPr>
                <w:szCs w:val="21"/>
              </w:rPr>
              <w:t>448</w:t>
            </w:r>
            <w:r w:rsidRPr="004929EA">
              <w:rPr>
                <w:rFonts w:hint="eastAsia"/>
                <w:szCs w:val="21"/>
              </w:rPr>
              <w:t>人</w:t>
            </w:r>
            <w:r>
              <w:rPr>
                <w:rFonts w:hint="eastAsia"/>
                <w:szCs w:val="21"/>
              </w:rPr>
              <w:t>，信息学院</w:t>
            </w:r>
            <w:r>
              <w:rPr>
                <w:szCs w:val="21"/>
              </w:rPr>
              <w:t>2011</w:t>
            </w:r>
            <w:r>
              <w:rPr>
                <w:rFonts w:hint="eastAsia"/>
                <w:szCs w:val="21"/>
              </w:rPr>
              <w:t>级学生双证率达到</w:t>
            </w:r>
            <w:r>
              <w:rPr>
                <w:szCs w:val="21"/>
              </w:rPr>
              <w:t>94.7%</w:t>
            </w:r>
            <w:r w:rsidRPr="004929EA">
              <w:rPr>
                <w:rFonts w:hint="eastAsia"/>
                <w:szCs w:val="21"/>
              </w:rPr>
              <w:t>，提高了学生就业竞争力</w:t>
            </w:r>
            <w:r>
              <w:rPr>
                <w:rFonts w:hint="eastAsia"/>
                <w:szCs w:val="21"/>
              </w:rPr>
              <w:t>。推动与日资企业富士电机、宁波乐科科软件公司的人才培养战略合作，初步确定有两名同学被选拔保送到日本早稻田大学攻读硕士研究生，乐科科公司给予全额资助。</w:t>
            </w:r>
          </w:p>
          <w:p w:rsidR="00993AE3" w:rsidRDefault="00993AE3" w:rsidP="001E5726">
            <w:pPr>
              <w:rPr>
                <w:szCs w:val="21"/>
              </w:rPr>
            </w:pPr>
          </w:p>
          <w:p w:rsidR="00993AE3" w:rsidRDefault="00993AE3" w:rsidP="001E5726">
            <w:pPr>
              <w:rPr>
                <w:szCs w:val="21"/>
              </w:rPr>
            </w:pPr>
            <w:r>
              <w:rPr>
                <w:rFonts w:hint="eastAsia"/>
                <w:szCs w:val="21"/>
              </w:rPr>
              <w:t>进课堂、进寝室情况：</w:t>
            </w:r>
          </w:p>
          <w:p w:rsidR="00993AE3" w:rsidRPr="001E5726" w:rsidRDefault="00993AE3" w:rsidP="00C84EDF">
            <w:pPr>
              <w:rPr>
                <w:szCs w:val="21"/>
              </w:rPr>
            </w:pPr>
            <w:r>
              <w:rPr>
                <w:rFonts w:hint="eastAsia"/>
                <w:szCs w:val="21"/>
              </w:rPr>
              <w:t>通过承担专业课程、听课、开展教学中期检查、党员结对学习困难生、进寝室等形式了解学院学生和教学情况。</w:t>
            </w:r>
          </w:p>
          <w:p w:rsidR="00993AE3" w:rsidRDefault="00993AE3" w:rsidP="00C84EDF">
            <w:pPr>
              <w:rPr>
                <w:szCs w:val="21"/>
              </w:rPr>
            </w:pPr>
          </w:p>
          <w:p w:rsidR="00993AE3" w:rsidRDefault="00993AE3" w:rsidP="00C84EDF">
            <w:pPr>
              <w:rPr>
                <w:szCs w:val="21"/>
              </w:rPr>
            </w:pPr>
            <w:r>
              <w:rPr>
                <w:rFonts w:hint="eastAsia"/>
                <w:szCs w:val="21"/>
              </w:rPr>
              <w:t>教学科研简要情况（</w:t>
            </w:r>
            <w:r>
              <w:rPr>
                <w:szCs w:val="21"/>
              </w:rPr>
              <w:t>“</w:t>
            </w:r>
            <w:r>
              <w:rPr>
                <w:rFonts w:hint="eastAsia"/>
                <w:szCs w:val="21"/>
              </w:rPr>
              <w:t>双肩挑</w:t>
            </w:r>
            <w:r>
              <w:rPr>
                <w:szCs w:val="21"/>
              </w:rPr>
              <w:t>”</w:t>
            </w:r>
            <w:r>
              <w:rPr>
                <w:rFonts w:hint="eastAsia"/>
                <w:szCs w:val="21"/>
              </w:rPr>
              <w:t>干部填写）：</w:t>
            </w:r>
          </w:p>
          <w:p w:rsidR="00993AE3" w:rsidRDefault="00993AE3" w:rsidP="00C84EDF">
            <w:pPr>
              <w:numPr>
                <w:ilvl w:val="0"/>
                <w:numId w:val="1"/>
              </w:numPr>
              <w:rPr>
                <w:szCs w:val="21"/>
              </w:rPr>
            </w:pPr>
            <w:r>
              <w:rPr>
                <w:rFonts w:hint="eastAsia"/>
                <w:szCs w:val="21"/>
              </w:rPr>
              <w:t>发表第一作者</w:t>
            </w:r>
            <w:r>
              <w:rPr>
                <w:szCs w:val="21"/>
              </w:rPr>
              <w:t>SCI</w:t>
            </w:r>
            <w:r>
              <w:rPr>
                <w:rFonts w:hint="eastAsia"/>
                <w:szCs w:val="21"/>
              </w:rPr>
              <w:t>检索论文</w:t>
            </w:r>
            <w:r>
              <w:rPr>
                <w:szCs w:val="21"/>
              </w:rPr>
              <w:t>6</w:t>
            </w:r>
            <w:r>
              <w:rPr>
                <w:rFonts w:hint="eastAsia"/>
                <w:szCs w:val="21"/>
              </w:rPr>
              <w:t>篇，</w:t>
            </w:r>
            <w:r>
              <w:rPr>
                <w:szCs w:val="21"/>
              </w:rPr>
              <w:t>EI</w:t>
            </w:r>
            <w:r>
              <w:rPr>
                <w:rFonts w:hint="eastAsia"/>
                <w:szCs w:val="21"/>
              </w:rPr>
              <w:t>检索论文</w:t>
            </w:r>
            <w:r>
              <w:rPr>
                <w:szCs w:val="21"/>
              </w:rPr>
              <w:t>1</w:t>
            </w:r>
            <w:r>
              <w:rPr>
                <w:rFonts w:hint="eastAsia"/>
                <w:szCs w:val="21"/>
              </w:rPr>
              <w:t>篇。</w:t>
            </w:r>
          </w:p>
          <w:p w:rsidR="00993AE3" w:rsidRDefault="00993AE3" w:rsidP="003F2C99">
            <w:pPr>
              <w:ind w:right="480"/>
              <w:rPr>
                <w:szCs w:val="21"/>
              </w:rPr>
            </w:pPr>
            <w:r>
              <w:rPr>
                <w:szCs w:val="21"/>
              </w:rPr>
              <w:t xml:space="preserve">2.  </w:t>
            </w:r>
            <w:r>
              <w:rPr>
                <w:rFonts w:hint="eastAsia"/>
                <w:szCs w:val="21"/>
              </w:rPr>
              <w:t>获得国家星火计划</w:t>
            </w:r>
            <w:r>
              <w:rPr>
                <w:szCs w:val="21"/>
              </w:rPr>
              <w:t>1</w:t>
            </w:r>
            <w:r>
              <w:rPr>
                <w:rFonts w:hint="eastAsia"/>
                <w:szCs w:val="21"/>
              </w:rPr>
              <w:t>项。</w:t>
            </w:r>
          </w:p>
        </w:tc>
      </w:tr>
    </w:tbl>
    <w:p w:rsidR="00993AE3" w:rsidRDefault="00993AE3" w:rsidP="00772E98">
      <w:pPr>
        <w:widowControl/>
        <w:jc w:val="left"/>
        <w:rPr>
          <w:sz w:val="24"/>
        </w:rPr>
        <w:sectPr w:rsidR="00993AE3">
          <w:pgSz w:w="11907" w:h="16840"/>
          <w:pgMar w:top="1418" w:right="1701" w:bottom="1418" w:left="1701" w:header="851" w:footer="992"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7"/>
        <w:gridCol w:w="1217"/>
        <w:gridCol w:w="1176"/>
        <w:gridCol w:w="5038"/>
      </w:tblGrid>
      <w:tr w:rsidR="00993AE3" w:rsidTr="0021638B">
        <w:trPr>
          <w:cantSplit/>
          <w:trHeight w:val="4351"/>
          <w:jc w:val="center"/>
        </w:trPr>
        <w:tc>
          <w:tcPr>
            <w:tcW w:w="8208" w:type="dxa"/>
            <w:gridSpan w:val="4"/>
            <w:vAlign w:val="center"/>
          </w:tcPr>
          <w:p w:rsidR="00993AE3" w:rsidRDefault="00993AE3" w:rsidP="003F2C99">
            <w:pPr>
              <w:rPr>
                <w:szCs w:val="21"/>
              </w:rPr>
            </w:pPr>
            <w:r>
              <w:rPr>
                <w:szCs w:val="21"/>
              </w:rPr>
              <w:t xml:space="preserve">                                     </w:t>
            </w:r>
            <w:r>
              <w:rPr>
                <w:rFonts w:hint="eastAsia"/>
                <w:szCs w:val="21"/>
              </w:rPr>
              <w:t>本人签名：</w:t>
            </w:r>
            <w:r>
              <w:rPr>
                <w:szCs w:val="21"/>
              </w:rPr>
              <w:t xml:space="preserve">                 </w:t>
            </w:r>
          </w:p>
          <w:p w:rsidR="00993AE3" w:rsidRDefault="00993AE3" w:rsidP="00993AE3">
            <w:pPr>
              <w:ind w:firstLineChars="2850" w:firstLine="31680"/>
              <w:rPr>
                <w:sz w:val="24"/>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993AE3" w:rsidTr="003F2C99">
        <w:trPr>
          <w:cantSplit/>
          <w:trHeight w:val="2779"/>
          <w:jc w:val="center"/>
        </w:trPr>
        <w:tc>
          <w:tcPr>
            <w:tcW w:w="777" w:type="dxa"/>
            <w:vMerge w:val="restart"/>
            <w:vAlign w:val="center"/>
          </w:tcPr>
          <w:p w:rsidR="00993AE3" w:rsidRDefault="00993AE3" w:rsidP="003F2C99">
            <w:pPr>
              <w:rPr>
                <w:szCs w:val="21"/>
              </w:rPr>
            </w:pPr>
            <w:r>
              <w:rPr>
                <w:rFonts w:hint="eastAsia"/>
                <w:szCs w:val="21"/>
              </w:rPr>
              <w:t>单</w:t>
            </w:r>
          </w:p>
          <w:p w:rsidR="00993AE3" w:rsidRDefault="00993AE3" w:rsidP="003F2C99">
            <w:pPr>
              <w:rPr>
                <w:szCs w:val="21"/>
              </w:rPr>
            </w:pPr>
            <w:r>
              <w:rPr>
                <w:rFonts w:hint="eastAsia"/>
                <w:szCs w:val="21"/>
              </w:rPr>
              <w:t>位</w:t>
            </w:r>
          </w:p>
          <w:p w:rsidR="00993AE3" w:rsidRDefault="00993AE3" w:rsidP="003F2C99">
            <w:pPr>
              <w:rPr>
                <w:szCs w:val="21"/>
              </w:rPr>
            </w:pPr>
            <w:r>
              <w:rPr>
                <w:rFonts w:hint="eastAsia"/>
                <w:szCs w:val="21"/>
              </w:rPr>
              <w:t>考</w:t>
            </w:r>
          </w:p>
          <w:p w:rsidR="00993AE3" w:rsidRDefault="00993AE3" w:rsidP="003F2C99">
            <w:pPr>
              <w:rPr>
                <w:szCs w:val="21"/>
              </w:rPr>
            </w:pPr>
            <w:r>
              <w:rPr>
                <w:rFonts w:hint="eastAsia"/>
                <w:szCs w:val="21"/>
              </w:rPr>
              <w:t>评</w:t>
            </w:r>
          </w:p>
          <w:p w:rsidR="00993AE3" w:rsidRDefault="00993AE3" w:rsidP="003F2C99">
            <w:pPr>
              <w:rPr>
                <w:szCs w:val="21"/>
              </w:rPr>
            </w:pPr>
            <w:r>
              <w:rPr>
                <w:rFonts w:hint="eastAsia"/>
                <w:szCs w:val="21"/>
              </w:rPr>
              <w:t>意</w:t>
            </w:r>
          </w:p>
          <w:p w:rsidR="00993AE3" w:rsidRDefault="00993AE3" w:rsidP="003F2C99">
            <w:pPr>
              <w:rPr>
                <w:szCs w:val="21"/>
              </w:rPr>
            </w:pPr>
            <w:r>
              <w:rPr>
                <w:rFonts w:hint="eastAsia"/>
                <w:szCs w:val="21"/>
              </w:rPr>
              <w:t>见</w:t>
            </w:r>
          </w:p>
        </w:tc>
        <w:tc>
          <w:tcPr>
            <w:tcW w:w="7431" w:type="dxa"/>
            <w:gridSpan w:val="3"/>
            <w:tcBorders>
              <w:bottom w:val="nil"/>
            </w:tcBorders>
          </w:tcPr>
          <w:p w:rsidR="00993AE3" w:rsidRDefault="00993AE3" w:rsidP="003F2C99">
            <w:pPr>
              <w:rPr>
                <w:szCs w:val="21"/>
              </w:rPr>
            </w:pPr>
          </w:p>
        </w:tc>
      </w:tr>
      <w:tr w:rsidR="00993AE3" w:rsidTr="003F2C99">
        <w:trPr>
          <w:cantSplit/>
          <w:trHeight w:val="618"/>
          <w:jc w:val="center"/>
        </w:trPr>
        <w:tc>
          <w:tcPr>
            <w:tcW w:w="777" w:type="dxa"/>
            <w:vMerge/>
            <w:vAlign w:val="center"/>
          </w:tcPr>
          <w:p w:rsidR="00993AE3" w:rsidRDefault="00993AE3" w:rsidP="003F2C99">
            <w:pPr>
              <w:widowControl/>
              <w:jc w:val="left"/>
              <w:rPr>
                <w:szCs w:val="21"/>
              </w:rPr>
            </w:pPr>
          </w:p>
        </w:tc>
        <w:tc>
          <w:tcPr>
            <w:tcW w:w="1217" w:type="dxa"/>
            <w:vAlign w:val="center"/>
          </w:tcPr>
          <w:p w:rsidR="00993AE3" w:rsidRDefault="00993AE3" w:rsidP="003F2C99">
            <w:pPr>
              <w:rPr>
                <w:szCs w:val="21"/>
              </w:rPr>
            </w:pPr>
            <w:r>
              <w:rPr>
                <w:rFonts w:hint="eastAsia"/>
                <w:szCs w:val="21"/>
              </w:rPr>
              <w:t>建议等级</w:t>
            </w:r>
          </w:p>
        </w:tc>
        <w:tc>
          <w:tcPr>
            <w:tcW w:w="1176" w:type="dxa"/>
            <w:vAlign w:val="center"/>
          </w:tcPr>
          <w:p w:rsidR="00993AE3" w:rsidRDefault="00993AE3" w:rsidP="003F2C99">
            <w:pPr>
              <w:rPr>
                <w:szCs w:val="21"/>
              </w:rPr>
            </w:pPr>
          </w:p>
        </w:tc>
        <w:tc>
          <w:tcPr>
            <w:tcW w:w="5038" w:type="dxa"/>
            <w:tcBorders>
              <w:top w:val="nil"/>
            </w:tcBorders>
            <w:vAlign w:val="center"/>
          </w:tcPr>
          <w:p w:rsidR="00993AE3" w:rsidRDefault="00993AE3" w:rsidP="003F2C99">
            <w:pPr>
              <w:rPr>
                <w:szCs w:val="21"/>
              </w:rPr>
            </w:pPr>
            <w:r>
              <w:rPr>
                <w:rFonts w:hint="eastAsia"/>
                <w:szCs w:val="21"/>
              </w:rPr>
              <w:t>负责人签名：</w:t>
            </w:r>
            <w:r>
              <w:rPr>
                <w:szCs w:val="21"/>
              </w:rPr>
              <w:t xml:space="preserve">          </w:t>
            </w:r>
            <w:r>
              <w:rPr>
                <w:rFonts w:hint="eastAsia"/>
                <w:szCs w:val="21"/>
              </w:rPr>
              <w:t>单位（盖章）：</w:t>
            </w:r>
          </w:p>
          <w:p w:rsidR="00993AE3" w:rsidRDefault="00993AE3" w:rsidP="00993AE3">
            <w:pPr>
              <w:ind w:firstLineChars="1300" w:firstLine="3168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993AE3" w:rsidTr="003F2C99">
        <w:trPr>
          <w:cantSplit/>
          <w:trHeight w:val="2014"/>
          <w:jc w:val="center"/>
        </w:trPr>
        <w:tc>
          <w:tcPr>
            <w:tcW w:w="777" w:type="dxa"/>
            <w:vAlign w:val="center"/>
          </w:tcPr>
          <w:p w:rsidR="00993AE3" w:rsidRDefault="00993AE3" w:rsidP="003F2C99">
            <w:pPr>
              <w:rPr>
                <w:szCs w:val="21"/>
              </w:rPr>
            </w:pPr>
            <w:r>
              <w:rPr>
                <w:rFonts w:hint="eastAsia"/>
                <w:szCs w:val="21"/>
              </w:rPr>
              <w:t>学</w:t>
            </w:r>
          </w:p>
          <w:p w:rsidR="00993AE3" w:rsidRDefault="00993AE3" w:rsidP="003F2C99">
            <w:pPr>
              <w:rPr>
                <w:szCs w:val="21"/>
              </w:rPr>
            </w:pPr>
            <w:r>
              <w:rPr>
                <w:rFonts w:hint="eastAsia"/>
                <w:szCs w:val="21"/>
              </w:rPr>
              <w:t>校</w:t>
            </w:r>
          </w:p>
          <w:p w:rsidR="00993AE3" w:rsidRDefault="00993AE3" w:rsidP="003F2C99">
            <w:pPr>
              <w:rPr>
                <w:szCs w:val="21"/>
              </w:rPr>
            </w:pPr>
            <w:r>
              <w:rPr>
                <w:rFonts w:hint="eastAsia"/>
                <w:szCs w:val="21"/>
              </w:rPr>
              <w:t>意</w:t>
            </w:r>
          </w:p>
          <w:p w:rsidR="00993AE3" w:rsidRDefault="00993AE3" w:rsidP="003F2C99">
            <w:pPr>
              <w:rPr>
                <w:szCs w:val="21"/>
              </w:rPr>
            </w:pPr>
            <w:r>
              <w:rPr>
                <w:rFonts w:hint="eastAsia"/>
                <w:szCs w:val="21"/>
              </w:rPr>
              <w:t>见</w:t>
            </w:r>
          </w:p>
        </w:tc>
        <w:tc>
          <w:tcPr>
            <w:tcW w:w="7431" w:type="dxa"/>
            <w:gridSpan w:val="3"/>
            <w:vAlign w:val="bottom"/>
          </w:tcPr>
          <w:p w:rsidR="00993AE3" w:rsidRDefault="00993AE3" w:rsidP="003F2C99">
            <w:pPr>
              <w:ind w:right="240"/>
              <w:rPr>
                <w:szCs w:val="21"/>
              </w:rPr>
            </w:pPr>
            <w:r>
              <w:rPr>
                <w:szCs w:val="21"/>
              </w:rPr>
              <w:t xml:space="preserve">                                                </w:t>
            </w:r>
            <w:r>
              <w:rPr>
                <w:rFonts w:hint="eastAsia"/>
                <w:szCs w:val="21"/>
              </w:rPr>
              <w:t>（盖章）</w:t>
            </w:r>
          </w:p>
          <w:p w:rsidR="00993AE3" w:rsidRDefault="00993AE3" w:rsidP="00993AE3">
            <w:pPr>
              <w:ind w:firstLineChars="2500" w:firstLine="3168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993AE3" w:rsidRDefault="00993AE3" w:rsidP="00772E98">
      <w:pPr>
        <w:spacing w:line="320" w:lineRule="exact"/>
      </w:pPr>
      <w:r>
        <w:rPr>
          <w:rFonts w:hint="eastAsia"/>
        </w:rPr>
        <w:t>备注：</w:t>
      </w:r>
      <w:r>
        <w:t>1.</w:t>
      </w:r>
      <w:r>
        <w:rPr>
          <w:rFonts w:hint="eastAsia"/>
        </w:rPr>
        <w:t>本表归入本人档案，请设置为</w:t>
      </w:r>
      <w:r>
        <w:t>A4</w:t>
      </w:r>
      <w:r>
        <w:rPr>
          <w:rFonts w:hint="eastAsia"/>
        </w:rPr>
        <w:t>纸，双面打印；</w:t>
      </w:r>
    </w:p>
    <w:p w:rsidR="00993AE3" w:rsidRDefault="00993AE3" w:rsidP="00CD0864">
      <w:pPr>
        <w:spacing w:line="320" w:lineRule="exact"/>
        <w:ind w:firstLineChars="300" w:firstLine="31680"/>
      </w:pPr>
      <w:r>
        <w:t>2.</w:t>
      </w:r>
      <w:r>
        <w:rPr>
          <w:rFonts w:hint="eastAsia"/>
        </w:rPr>
        <w:t>签名、单位意见需用黑色、蓝黑色墨水钢笔填写；</w:t>
      </w:r>
    </w:p>
    <w:p w:rsidR="00993AE3" w:rsidRDefault="00993AE3" w:rsidP="00CD0864">
      <w:pPr>
        <w:spacing w:line="320" w:lineRule="exact"/>
        <w:ind w:leftChars="300" w:left="31680"/>
      </w:pPr>
      <w:r>
        <w:t>3.“</w:t>
      </w:r>
      <w:r>
        <w:rPr>
          <w:rFonts w:hint="eastAsia"/>
        </w:rPr>
        <w:t>单位考评意见</w:t>
      </w:r>
      <w:r>
        <w:t>”</w:t>
      </w:r>
      <w:r>
        <w:rPr>
          <w:rFonts w:hint="eastAsia"/>
        </w:rPr>
        <w:t>栏：中层副职干部的“单位考评意见”和“建议等级”由干部所在单位（部门）党政主要负责人填写；中层正职干部（或单位主要负责人）的“单位考评意见”勿需填写，“建议等级”由党委组织部根据校考核领导小组研究的决定填写。</w:t>
      </w:r>
    </w:p>
    <w:p w:rsidR="00993AE3" w:rsidRDefault="00993AE3" w:rsidP="00772E98"/>
    <w:p w:rsidR="00993AE3" w:rsidRDefault="00993AE3" w:rsidP="00772E98"/>
    <w:p w:rsidR="00993AE3" w:rsidRPr="00772E98" w:rsidRDefault="00993AE3"/>
    <w:sectPr w:rsidR="00993AE3" w:rsidRPr="00772E98" w:rsidSect="00CD0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AE3" w:rsidRDefault="00993AE3" w:rsidP="00772E98">
      <w:r>
        <w:separator/>
      </w:r>
    </w:p>
  </w:endnote>
  <w:endnote w:type="continuationSeparator" w:id="0">
    <w:p w:rsidR="00993AE3" w:rsidRDefault="00993AE3" w:rsidP="00772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AE3" w:rsidRDefault="00993AE3" w:rsidP="00772E98">
      <w:r>
        <w:separator/>
      </w:r>
    </w:p>
  </w:footnote>
  <w:footnote w:type="continuationSeparator" w:id="0">
    <w:p w:rsidR="00993AE3" w:rsidRDefault="00993AE3" w:rsidP="00772E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468"/>
    <w:multiLevelType w:val="hybridMultilevel"/>
    <w:tmpl w:val="F574FDAE"/>
    <w:lvl w:ilvl="0" w:tplc="9B8EFFC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E98"/>
    <w:rsid w:val="00057EF5"/>
    <w:rsid w:val="001101FB"/>
    <w:rsid w:val="00176930"/>
    <w:rsid w:val="001D2D18"/>
    <w:rsid w:val="001D50BC"/>
    <w:rsid w:val="001E5726"/>
    <w:rsid w:val="0021638B"/>
    <w:rsid w:val="00266D84"/>
    <w:rsid w:val="003B6AA4"/>
    <w:rsid w:val="003F2C99"/>
    <w:rsid w:val="00404EBB"/>
    <w:rsid w:val="00462433"/>
    <w:rsid w:val="004929EA"/>
    <w:rsid w:val="004A38B2"/>
    <w:rsid w:val="00597A46"/>
    <w:rsid w:val="005D74F9"/>
    <w:rsid w:val="006A3338"/>
    <w:rsid w:val="00714470"/>
    <w:rsid w:val="00772E98"/>
    <w:rsid w:val="007E791E"/>
    <w:rsid w:val="00870F3B"/>
    <w:rsid w:val="008A6514"/>
    <w:rsid w:val="008B4A7C"/>
    <w:rsid w:val="008E0C47"/>
    <w:rsid w:val="0092647C"/>
    <w:rsid w:val="00993AE3"/>
    <w:rsid w:val="009C5484"/>
    <w:rsid w:val="00A634DC"/>
    <w:rsid w:val="00A73580"/>
    <w:rsid w:val="00C84EDF"/>
    <w:rsid w:val="00C957A5"/>
    <w:rsid w:val="00CD0864"/>
    <w:rsid w:val="00CD0B90"/>
    <w:rsid w:val="00CF66DB"/>
    <w:rsid w:val="00D26804"/>
    <w:rsid w:val="00D33D33"/>
    <w:rsid w:val="00EA129E"/>
    <w:rsid w:val="00F44CFF"/>
    <w:rsid w:val="00F918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E98"/>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72E9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772E98"/>
    <w:rPr>
      <w:rFonts w:cs="Times New Roman"/>
      <w:sz w:val="18"/>
      <w:szCs w:val="18"/>
    </w:rPr>
  </w:style>
  <w:style w:type="paragraph" w:styleId="Footer">
    <w:name w:val="footer"/>
    <w:basedOn w:val="Normal"/>
    <w:link w:val="FooterChar"/>
    <w:uiPriority w:val="99"/>
    <w:semiHidden/>
    <w:rsid w:val="00772E98"/>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772E98"/>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014114505">
      <w:marLeft w:val="0"/>
      <w:marRight w:val="0"/>
      <w:marTop w:val="0"/>
      <w:marBottom w:val="0"/>
      <w:divBdr>
        <w:top w:val="none" w:sz="0" w:space="0" w:color="auto"/>
        <w:left w:val="none" w:sz="0" w:space="0" w:color="auto"/>
        <w:bottom w:val="none" w:sz="0" w:space="0" w:color="auto"/>
        <w:right w:val="none" w:sz="0" w:space="0" w:color="auto"/>
      </w:divBdr>
      <w:divsChild>
        <w:div w:id="1014114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TotalTime>
  <Pages>2</Pages>
  <Words>212</Words>
  <Characters>1210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zy</dc:creator>
  <cp:keywords/>
  <dc:description/>
  <cp:lastModifiedBy>番茄花园</cp:lastModifiedBy>
  <cp:revision>19</cp:revision>
  <dcterms:created xsi:type="dcterms:W3CDTF">2014-12-15T00:53:00Z</dcterms:created>
  <dcterms:modified xsi:type="dcterms:W3CDTF">2014-12-16T08:13:00Z</dcterms:modified>
</cp:coreProperties>
</file>