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7E" w:rsidRDefault="00517C7E" w:rsidP="00772E98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517C7E" w:rsidRDefault="00517C7E" w:rsidP="00772E98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浙江大学宁波理工学院中层领导干部年度考核表</w:t>
      </w:r>
    </w:p>
    <w:p w:rsidR="00517C7E" w:rsidRDefault="00517C7E" w:rsidP="00772E98">
      <w:pPr>
        <w:spacing w:line="440" w:lineRule="exact"/>
        <w:jc w:val="center"/>
      </w:pPr>
      <w:r>
        <w:rPr>
          <w:rFonts w:eastAsia="黑体" w:cs="黑体" w:hint="eastAsia"/>
          <w:sz w:val="36"/>
          <w:szCs w:val="36"/>
        </w:rPr>
        <w:t>（</w:t>
      </w:r>
      <w:r>
        <w:rPr>
          <w:rFonts w:eastAsia="黑体"/>
          <w:sz w:val="36"/>
          <w:szCs w:val="36"/>
        </w:rPr>
        <w:t>2014</w:t>
      </w:r>
      <w:r>
        <w:rPr>
          <w:rFonts w:eastAsia="黑体" w:cs="黑体" w:hint="eastAsia"/>
          <w:sz w:val="36"/>
          <w:szCs w:val="36"/>
        </w:rPr>
        <w:t>年）</w:t>
      </w:r>
    </w:p>
    <w:p w:rsidR="00517C7E" w:rsidRDefault="00517C7E" w:rsidP="00772E98">
      <w:pPr>
        <w:spacing w:line="440" w:lineRule="exact"/>
        <w:rPr>
          <w:rFonts w:eastAsia="黑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517C7E">
        <w:trPr>
          <w:trHeight w:val="642"/>
          <w:jc w:val="center"/>
        </w:trPr>
        <w:tc>
          <w:tcPr>
            <w:tcW w:w="764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王骏</w:t>
            </w:r>
          </w:p>
        </w:tc>
        <w:tc>
          <w:tcPr>
            <w:tcW w:w="720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男</w:t>
            </w:r>
          </w:p>
        </w:tc>
        <w:tc>
          <w:tcPr>
            <w:tcW w:w="720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出生</w:t>
            </w:r>
          </w:p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260" w:type="dxa"/>
            <w:vAlign w:val="center"/>
          </w:tcPr>
          <w:p w:rsidR="00517C7E" w:rsidRDefault="00517C7E" w:rsidP="003F2C99">
            <w:pPr>
              <w:jc w:val="center"/>
            </w:pPr>
            <w:r>
              <w:t>1975.10</w:t>
            </w:r>
          </w:p>
        </w:tc>
        <w:tc>
          <w:tcPr>
            <w:tcW w:w="720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1346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副教授</w:t>
            </w:r>
          </w:p>
        </w:tc>
      </w:tr>
      <w:tr w:rsidR="00517C7E" w:rsidTr="0073423B">
        <w:trPr>
          <w:trHeight w:val="411"/>
          <w:jc w:val="center"/>
        </w:trPr>
        <w:tc>
          <w:tcPr>
            <w:tcW w:w="1462" w:type="dxa"/>
            <w:gridSpan w:val="2"/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法律系系主任助理</w:t>
            </w:r>
          </w:p>
        </w:tc>
        <w:tc>
          <w:tcPr>
            <w:tcW w:w="720" w:type="dxa"/>
            <w:vAlign w:val="center"/>
          </w:tcPr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任职</w:t>
            </w:r>
          </w:p>
          <w:p w:rsidR="00517C7E" w:rsidRDefault="00517C7E" w:rsidP="003F2C99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346" w:type="dxa"/>
            <w:vAlign w:val="center"/>
          </w:tcPr>
          <w:p w:rsidR="00517C7E" w:rsidRDefault="00517C7E" w:rsidP="003F2C99">
            <w:pPr>
              <w:jc w:val="center"/>
            </w:pPr>
            <w:r>
              <w:t>2011.12</w:t>
            </w:r>
          </w:p>
        </w:tc>
      </w:tr>
      <w:tr w:rsidR="00517C7E">
        <w:trPr>
          <w:cantSplit/>
          <w:trHeight w:val="10580"/>
          <w:jc w:val="center"/>
        </w:trPr>
        <w:tc>
          <w:tcPr>
            <w:tcW w:w="8208" w:type="dxa"/>
            <w:gridSpan w:val="9"/>
          </w:tcPr>
          <w:p w:rsidR="00517C7E" w:rsidRPr="0073423B" w:rsidRDefault="00517C7E" w:rsidP="0073423B">
            <w:pPr>
              <w:spacing w:line="360" w:lineRule="atLeast"/>
            </w:pPr>
            <w:r w:rsidRPr="0073423B">
              <w:rPr>
                <w:rFonts w:cs="宋体" w:hint="eastAsia"/>
              </w:rPr>
              <w:t>工作业绩（自评）</w:t>
            </w:r>
          </w:p>
          <w:p w:rsidR="00517C7E" w:rsidRPr="0073423B" w:rsidRDefault="00517C7E" w:rsidP="0073423B">
            <w:pPr>
              <w:spacing w:line="360" w:lineRule="atLeast"/>
            </w:pPr>
            <w:r w:rsidRPr="0073423B">
              <w:rPr>
                <w:rFonts w:cs="宋体" w:hint="eastAsia"/>
              </w:rPr>
              <w:t>管理工作：</w:t>
            </w:r>
          </w:p>
          <w:p w:rsidR="00517C7E" w:rsidRPr="0073423B" w:rsidRDefault="00517C7E" w:rsidP="00517C7E">
            <w:pPr>
              <w:spacing w:line="360" w:lineRule="atLeast"/>
              <w:ind w:firstLineChars="150" w:firstLine="31680"/>
            </w:pPr>
            <w:r w:rsidRPr="0073423B">
              <w:rPr>
                <w:rFonts w:cs="宋体" w:hint="eastAsia"/>
              </w:rPr>
              <w:t>本人</w:t>
            </w:r>
            <w:r w:rsidRPr="0073423B">
              <w:rPr>
                <w:rFonts w:cs="宋体" w:hint="eastAsia"/>
                <w:shd w:val="clear" w:color="auto" w:fill="FFFFFF"/>
              </w:rPr>
              <w:t>政治立场坚定，政治学习主动，服从党的领导，贯彻党的决议，维护党的团结。</w:t>
            </w:r>
          </w:p>
          <w:p w:rsidR="00517C7E" w:rsidRPr="0073423B" w:rsidRDefault="00517C7E" w:rsidP="0073423B">
            <w:pPr>
              <w:spacing w:line="360" w:lineRule="atLeast"/>
              <w:rPr>
                <w:shd w:val="clear" w:color="auto" w:fill="FFFFFF"/>
              </w:rPr>
            </w:pPr>
            <w:r w:rsidRPr="0073423B">
              <w:rPr>
                <w:rFonts w:cs="宋体" w:hint="eastAsia"/>
                <w:shd w:val="clear" w:color="auto" w:fill="FFFFFF"/>
              </w:rPr>
              <w:t>爱岗敬业，顾全大局，依法办事，实事求是，联系群众，为教学、科研一线服务的意识强。能身体力行做好教学、科研工作。在分管的工作领域，取得了如下业绩：</w:t>
            </w:r>
          </w:p>
          <w:p w:rsidR="00517C7E" w:rsidRPr="0073423B" w:rsidRDefault="00517C7E" w:rsidP="0073423B">
            <w:pPr>
              <w:spacing w:line="360" w:lineRule="atLeast"/>
              <w:ind w:firstLine="435"/>
              <w:rPr>
                <w:shd w:val="clear" w:color="auto" w:fill="FFFFFF"/>
              </w:rPr>
            </w:pPr>
            <w:r w:rsidRPr="0073423B">
              <w:rPr>
                <w:rFonts w:cs="宋体" w:hint="eastAsia"/>
                <w:shd w:val="clear" w:color="auto" w:fill="FFFFFF"/>
              </w:rPr>
              <w:t>科研工作实现了重大突破。</w:t>
            </w:r>
            <w:r w:rsidRPr="0073423B">
              <w:rPr>
                <w:shd w:val="clear" w:color="auto" w:fill="FFFFFF"/>
              </w:rPr>
              <w:t>2014</w:t>
            </w:r>
            <w:r w:rsidRPr="0073423B">
              <w:rPr>
                <w:rFonts w:cs="宋体" w:hint="eastAsia"/>
                <w:shd w:val="clear" w:color="auto" w:fill="FFFFFF"/>
              </w:rPr>
              <w:t>年</w:t>
            </w:r>
            <w:r>
              <w:rPr>
                <w:rFonts w:cs="宋体" w:hint="eastAsia"/>
                <w:shd w:val="clear" w:color="auto" w:fill="FFFFFF"/>
              </w:rPr>
              <w:t>为法律系</w:t>
            </w:r>
            <w:r w:rsidRPr="0073423B">
              <w:rPr>
                <w:rFonts w:cs="宋体" w:hint="eastAsia"/>
                <w:shd w:val="clear" w:color="auto" w:fill="FFFFFF"/>
              </w:rPr>
              <w:t>“科研突破年”，在</w:t>
            </w:r>
            <w:r w:rsidRPr="0073423B">
              <w:rPr>
                <w:shd w:val="clear" w:color="auto" w:fill="FFFFFF"/>
              </w:rPr>
              <w:t>2013</w:t>
            </w:r>
            <w:r w:rsidRPr="0073423B">
              <w:rPr>
                <w:rFonts w:cs="宋体" w:hint="eastAsia"/>
                <w:shd w:val="clear" w:color="auto" w:fill="FFFFFF"/>
              </w:rPr>
              <w:t>年“早发动、早谋划”的坚实基础上，法律系的科研工作取得了重大突破。首次获得国家社科基金项目立项，连续</w:t>
            </w:r>
            <w:r w:rsidRPr="0073423B">
              <w:rPr>
                <w:shd w:val="clear" w:color="auto" w:fill="FFFFFF"/>
              </w:rPr>
              <w:t>4</w:t>
            </w:r>
            <w:r w:rsidRPr="0073423B">
              <w:rPr>
                <w:rFonts w:cs="宋体" w:hint="eastAsia"/>
                <w:shd w:val="clear" w:color="auto" w:fill="FFFFFF"/>
              </w:rPr>
              <w:t>年获得教育部人文社科项目立项，发表国内外权威期刊论文</w:t>
            </w:r>
            <w:r w:rsidRPr="0073423B">
              <w:rPr>
                <w:shd w:val="clear" w:color="auto" w:fill="FFFFFF"/>
              </w:rPr>
              <w:t>4</w:t>
            </w:r>
            <w:r w:rsidRPr="0073423B">
              <w:rPr>
                <w:rFonts w:cs="宋体" w:hint="eastAsia"/>
                <w:shd w:val="clear" w:color="auto" w:fill="FFFFFF"/>
              </w:rPr>
              <w:t>篇，一级期刊论文</w:t>
            </w:r>
            <w:r w:rsidRPr="0073423B">
              <w:rPr>
                <w:shd w:val="clear" w:color="auto" w:fill="FFFFFF"/>
              </w:rPr>
              <w:t>3</w:t>
            </w:r>
            <w:r w:rsidRPr="0073423B">
              <w:rPr>
                <w:rFonts w:cs="宋体" w:hint="eastAsia"/>
                <w:shd w:val="clear" w:color="auto" w:fill="FFFFFF"/>
              </w:rPr>
              <w:t>篇。其中，知识产权团队在</w:t>
            </w:r>
            <w:r w:rsidRPr="0073423B">
              <w:rPr>
                <w:shd w:val="clear" w:color="auto" w:fill="FFFFFF"/>
              </w:rPr>
              <w:t>Nature</w:t>
            </w:r>
            <w:r w:rsidRPr="0073423B">
              <w:rPr>
                <w:rFonts w:cs="宋体" w:hint="eastAsia"/>
                <w:shd w:val="clear" w:color="auto" w:fill="FFFFFF"/>
              </w:rPr>
              <w:t>子刊</w:t>
            </w:r>
            <w:r w:rsidRPr="0073423B">
              <w:rPr>
                <w:shd w:val="clear" w:color="auto" w:fill="FFFFFF"/>
              </w:rPr>
              <w:t>Nature Biotechnology</w:t>
            </w:r>
            <w:r w:rsidRPr="0073423B">
              <w:rPr>
                <w:rFonts w:cs="宋体" w:hint="eastAsia"/>
                <w:shd w:val="clear" w:color="auto" w:fill="FFFFFF"/>
              </w:rPr>
              <w:t>上发文，该子刊最新影响因子为</w:t>
            </w:r>
            <w:r w:rsidRPr="0073423B">
              <w:rPr>
                <w:shd w:val="clear" w:color="auto" w:fill="FFFFFF"/>
              </w:rPr>
              <w:t>39.08</w:t>
            </w:r>
            <w:r w:rsidRPr="0073423B">
              <w:rPr>
                <w:rFonts w:cs="宋体" w:hint="eastAsia"/>
                <w:shd w:val="clear" w:color="auto" w:fill="FFFFFF"/>
              </w:rPr>
              <w:t>，在</w:t>
            </w:r>
            <w:r w:rsidRPr="0073423B">
              <w:rPr>
                <w:shd w:val="clear" w:color="auto" w:fill="FFFFFF"/>
              </w:rPr>
              <w:t>8000</w:t>
            </w:r>
            <w:r w:rsidRPr="0073423B">
              <w:rPr>
                <w:rFonts w:cs="宋体" w:hint="eastAsia"/>
                <w:shd w:val="clear" w:color="auto" w:fill="FFFFFF"/>
              </w:rPr>
              <w:t>多种</w:t>
            </w:r>
            <w:r w:rsidRPr="0073423B">
              <w:rPr>
                <w:shd w:val="clear" w:color="auto" w:fill="FFFFFF"/>
              </w:rPr>
              <w:t>SCI</w:t>
            </w:r>
            <w:r w:rsidRPr="0073423B">
              <w:rPr>
                <w:rFonts w:cs="宋体" w:hint="eastAsia"/>
                <w:shd w:val="clear" w:color="auto" w:fill="FFFFFF"/>
              </w:rPr>
              <w:t>期刊中排名第</w:t>
            </w:r>
            <w:r w:rsidRPr="0073423B">
              <w:rPr>
                <w:shd w:val="clear" w:color="auto" w:fill="FFFFFF"/>
              </w:rPr>
              <w:t>9</w:t>
            </w:r>
            <w:r w:rsidRPr="0073423B">
              <w:rPr>
                <w:rFonts w:cs="宋体" w:hint="eastAsia"/>
                <w:shd w:val="clear" w:color="auto" w:fill="FFFFFF"/>
              </w:rPr>
              <w:t>位。刑法学团队在《中国法学》上发文，该刊物的综合影响因子在全国人文社科刊物中名列第二，在法学刊物中位居第一。截至</w:t>
            </w:r>
            <w:r w:rsidRPr="0073423B">
              <w:rPr>
                <w:shd w:val="clear" w:color="auto" w:fill="FFFFFF"/>
              </w:rPr>
              <w:t>12</w:t>
            </w:r>
            <w:r w:rsidRPr="0073423B">
              <w:rPr>
                <w:rFonts w:cs="宋体" w:hint="eastAsia"/>
                <w:shd w:val="clear" w:color="auto" w:fill="FFFFFF"/>
              </w:rPr>
              <w:t>月初，到款科研经费</w:t>
            </w:r>
            <w:r w:rsidRPr="0073423B">
              <w:rPr>
                <w:shd w:val="clear" w:color="auto" w:fill="FFFFFF"/>
              </w:rPr>
              <w:t>190</w:t>
            </w:r>
            <w:r w:rsidRPr="0073423B">
              <w:rPr>
                <w:rFonts w:cs="宋体" w:hint="eastAsia"/>
                <w:shd w:val="clear" w:color="auto" w:fill="FFFFFF"/>
              </w:rPr>
              <w:t>多万元，也是历史新高。青年教师的科研势头强劲，全年获地厅级以上课题</w:t>
            </w:r>
            <w:r w:rsidRPr="0073423B">
              <w:rPr>
                <w:shd w:val="clear" w:color="auto" w:fill="FFFFFF"/>
              </w:rPr>
              <w:t>10</w:t>
            </w:r>
            <w:r w:rsidRPr="0073423B">
              <w:rPr>
                <w:rFonts w:cs="宋体" w:hint="eastAsia"/>
                <w:shd w:val="clear" w:color="auto" w:fill="FFFFFF"/>
              </w:rPr>
              <w:t>余项。</w:t>
            </w:r>
          </w:p>
          <w:p w:rsidR="00517C7E" w:rsidRPr="0073423B" w:rsidRDefault="00517C7E" w:rsidP="0073423B">
            <w:pPr>
              <w:spacing w:line="360" w:lineRule="atLeast"/>
              <w:ind w:firstLine="435"/>
              <w:rPr>
                <w:shd w:val="clear" w:color="auto" w:fill="FFFFFF"/>
              </w:rPr>
            </w:pPr>
            <w:r w:rsidRPr="0073423B">
              <w:rPr>
                <w:rFonts w:cs="宋体" w:hint="eastAsia"/>
                <w:shd w:val="clear" w:color="auto" w:fill="FFFFFF"/>
              </w:rPr>
              <w:t>社会服务工作迈上新台阶。法律系被授予“政府立法联系点”，</w:t>
            </w:r>
            <w:r w:rsidRPr="0073423B">
              <w:rPr>
                <w:shd w:val="clear" w:color="auto" w:fill="FFFFFF"/>
              </w:rPr>
              <w:t>1</w:t>
            </w:r>
            <w:r w:rsidRPr="0073423B">
              <w:rPr>
                <w:rFonts w:cs="宋体" w:hint="eastAsia"/>
                <w:shd w:val="clear" w:color="auto" w:fill="FFFFFF"/>
              </w:rPr>
              <w:t>位教师受聘为宁波市人民政府法律顾问，</w:t>
            </w:r>
            <w:r w:rsidRPr="0073423B">
              <w:rPr>
                <w:shd w:val="clear" w:color="auto" w:fill="FFFFFF"/>
              </w:rPr>
              <w:t>6</w:t>
            </w:r>
            <w:r w:rsidRPr="0073423B">
              <w:rPr>
                <w:rFonts w:cs="宋体" w:hint="eastAsia"/>
                <w:shd w:val="clear" w:color="auto" w:fill="FFFFFF"/>
              </w:rPr>
              <w:t>位教师受聘为宁波仲裁委员会仲裁员，</w:t>
            </w:r>
            <w:r w:rsidRPr="0073423B">
              <w:rPr>
                <w:shd w:val="clear" w:color="auto" w:fill="FFFFFF"/>
              </w:rPr>
              <w:t>1</w:t>
            </w:r>
            <w:r w:rsidRPr="0073423B">
              <w:rPr>
                <w:rFonts w:cs="宋体" w:hint="eastAsia"/>
                <w:shd w:val="clear" w:color="auto" w:fill="FFFFFF"/>
              </w:rPr>
              <w:t>位教师在宁波市海洋渔业局挂职，</w:t>
            </w:r>
            <w:r>
              <w:rPr>
                <w:rFonts w:cs="宋体"/>
                <w:shd w:val="clear" w:color="auto" w:fill="FFFFFF"/>
              </w:rPr>
              <w:t>1</w:t>
            </w:r>
            <w:r>
              <w:rPr>
                <w:rFonts w:cs="宋体" w:hint="eastAsia"/>
                <w:shd w:val="clear" w:color="auto" w:fill="FFFFFF"/>
              </w:rPr>
              <w:t>位教师在宁波市中级人民法院挂职，标志着法律系参与</w:t>
            </w:r>
            <w:r w:rsidRPr="0073423B">
              <w:rPr>
                <w:rFonts w:cs="宋体" w:hint="eastAsia"/>
                <w:shd w:val="clear" w:color="auto" w:fill="FFFFFF"/>
              </w:rPr>
              <w:t>立法、咨询、解决纠纷等的广度和力度进一步加大。参与了法律系与宁波市中级人民法院的全面合作工作，院校合作进一步加强。此外，知识产权学科团队参与编制的《宁波市专利信息服务规范》获批准发布，在规范专利信息分析服务等方面具有创新性，对培育和规范宁波市专利信息服务业具有重要意义。</w:t>
            </w:r>
          </w:p>
          <w:p w:rsidR="00517C7E" w:rsidRPr="0073423B" w:rsidRDefault="00517C7E" w:rsidP="0073423B">
            <w:pPr>
              <w:spacing w:line="360" w:lineRule="atLeast"/>
              <w:ind w:firstLine="435"/>
              <w:rPr>
                <w:shd w:val="clear" w:color="auto" w:fill="FFFFFF"/>
              </w:rPr>
            </w:pPr>
            <w:r w:rsidRPr="0073423B">
              <w:rPr>
                <w:rFonts w:cs="宋体" w:hint="eastAsia"/>
                <w:shd w:val="clear" w:color="auto" w:fill="FFFFFF"/>
              </w:rPr>
              <w:t>行政、实验室、财务工作进一步规范有序。主持落实了法律系“三重一大”决策制度的执行，党政联席会议制度和信息公开制度得到严格执行。强化了法律系安全稳定工作责任制，首次评选了系安全稳定工作先进个人加以表彰。对于模拟法庭实验室等重点区域，主抓了值班和借用制度，发现隐患及时整改。在财务工作中，推行分管领导与“一把手”相互监督制度，保证了财经纪律的切实遵守和腐败的防范。</w:t>
            </w:r>
          </w:p>
          <w:p w:rsidR="00517C7E" w:rsidRPr="0073423B" w:rsidRDefault="00517C7E" w:rsidP="0073423B">
            <w:pPr>
              <w:spacing w:line="360" w:lineRule="atLeast"/>
              <w:ind w:firstLine="435"/>
              <w:rPr>
                <w:color w:val="313131"/>
                <w:shd w:val="clear" w:color="auto" w:fill="FFFFFF"/>
              </w:rPr>
            </w:pPr>
            <w:r w:rsidRPr="0073423B">
              <w:rPr>
                <w:rFonts w:cs="宋体" w:hint="eastAsia"/>
                <w:shd w:val="clear" w:color="auto" w:fill="FFFFFF"/>
              </w:rPr>
              <w:t>但是，</w:t>
            </w:r>
            <w:r w:rsidRPr="0073423B">
              <w:rPr>
                <w:rFonts w:cs="宋体" w:hint="eastAsia"/>
              </w:rPr>
              <w:t>工作</w:t>
            </w:r>
            <w:r>
              <w:rPr>
                <w:rFonts w:cs="宋体" w:hint="eastAsia"/>
              </w:rPr>
              <w:t>中仍存在不够深入、把握不深的问题，</w:t>
            </w:r>
            <w:r w:rsidRPr="0073423B">
              <w:rPr>
                <w:rFonts w:cs="宋体" w:hint="eastAsia"/>
              </w:rPr>
              <w:t>多为急用先学，存在时紧时松的现象，造成学习的内容不系统</w:t>
            </w:r>
            <w:r>
              <w:rPr>
                <w:rFonts w:cs="宋体" w:hint="eastAsia"/>
              </w:rPr>
              <w:t>、</w:t>
            </w:r>
            <w:r w:rsidRPr="0073423B">
              <w:rPr>
                <w:rFonts w:cs="宋体" w:hint="eastAsia"/>
              </w:rPr>
              <w:t>不全面</w:t>
            </w:r>
            <w:r>
              <w:rPr>
                <w:rFonts w:cs="宋体" w:hint="eastAsia"/>
              </w:rPr>
              <w:t>、</w:t>
            </w:r>
            <w:r w:rsidRPr="0073423B">
              <w:rPr>
                <w:rFonts w:cs="宋体" w:hint="eastAsia"/>
              </w:rPr>
              <w:t>不深刻；有的工作想做又不敢做，瞻前顾后比较多；此外，对教师的关注度还不太够，在深入了解其心理动态方面做得还有欠缺。</w:t>
            </w:r>
          </w:p>
        </w:tc>
      </w:tr>
    </w:tbl>
    <w:p w:rsidR="00517C7E" w:rsidRDefault="00517C7E" w:rsidP="00772E98">
      <w:pPr>
        <w:widowControl/>
        <w:jc w:val="left"/>
        <w:rPr>
          <w:sz w:val="24"/>
          <w:szCs w:val="24"/>
        </w:rPr>
        <w:sectPr w:rsidR="00517C7E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517C7E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教学科研简要情况（</w:t>
            </w:r>
            <w:r>
              <w:t>“</w:t>
            </w:r>
            <w:r>
              <w:rPr>
                <w:rFonts w:cs="宋体" w:hint="eastAsia"/>
              </w:rPr>
              <w:t>双肩挑</w:t>
            </w:r>
            <w:r>
              <w:t>”</w:t>
            </w:r>
            <w:r>
              <w:rPr>
                <w:rFonts w:cs="宋体" w:hint="eastAsia"/>
              </w:rPr>
              <w:t>干部填写）：</w:t>
            </w:r>
          </w:p>
          <w:p w:rsidR="00517C7E" w:rsidRDefault="00517C7E" w:rsidP="003F2C99">
            <w:r>
              <w:rPr>
                <w:rFonts w:cs="宋体" w:hint="eastAsia"/>
              </w:rPr>
              <w:t>教学情况：</w:t>
            </w:r>
          </w:p>
          <w:p w:rsidR="00517C7E" w:rsidRDefault="00517C7E" w:rsidP="00D11BB7">
            <w:pPr>
              <w:ind w:firstLine="435"/>
            </w:pPr>
            <w:r>
              <w:t>1.2013-2014</w:t>
            </w:r>
            <w:r>
              <w:rPr>
                <w:rFonts w:cs="宋体" w:hint="eastAsia"/>
              </w:rPr>
              <w:t>学年教学业绩评价为优秀；</w:t>
            </w:r>
          </w:p>
          <w:p w:rsidR="00517C7E" w:rsidRDefault="00517C7E" w:rsidP="00D11BB7">
            <w:pPr>
              <w:ind w:firstLine="435"/>
            </w:pPr>
            <w:r>
              <w:t>2.2013-2014</w:t>
            </w:r>
            <w:r>
              <w:rPr>
                <w:rFonts w:cs="宋体" w:hint="eastAsia"/>
              </w:rPr>
              <w:t>下学期所授课程《刑事诉讼法》获法律系“魅力课程”称号；</w:t>
            </w:r>
          </w:p>
          <w:p w:rsidR="00517C7E" w:rsidRPr="00D11BB7" w:rsidRDefault="00517C7E" w:rsidP="00D11BB7">
            <w:pPr>
              <w:ind w:firstLine="435"/>
            </w:pPr>
            <w:r>
              <w:t>3.</w:t>
            </w:r>
            <w:r>
              <w:rPr>
                <w:rFonts w:cs="宋体" w:hint="eastAsia"/>
              </w:rPr>
              <w:t>参与的“面向企业需求的‘</w:t>
            </w:r>
            <w:r w:rsidRPr="00D11BB7">
              <w:rPr>
                <w:rFonts w:cs="宋体" w:hint="eastAsia"/>
              </w:rPr>
              <w:t>一体多面</w:t>
            </w:r>
            <w:r>
              <w:rPr>
                <w:rFonts w:cs="宋体" w:hint="eastAsia"/>
              </w:rPr>
              <w:t>’</w:t>
            </w:r>
            <w:r w:rsidRPr="00D11BB7">
              <w:rPr>
                <w:rFonts w:cs="宋体" w:hint="eastAsia"/>
              </w:rPr>
              <w:t>法学复合型人才培养模式建设”</w:t>
            </w:r>
            <w:r>
              <w:rPr>
                <w:rFonts w:cs="宋体" w:hint="eastAsia"/>
              </w:rPr>
              <w:t>获</w:t>
            </w:r>
            <w:r>
              <w:t>2014</w:t>
            </w:r>
            <w:r>
              <w:rPr>
                <w:rFonts w:cs="宋体" w:hint="eastAsia"/>
              </w:rPr>
              <w:t>年校级教学成成果二等奖。</w:t>
            </w:r>
          </w:p>
          <w:p w:rsidR="00517C7E" w:rsidRDefault="00517C7E" w:rsidP="003F2C99">
            <w:r>
              <w:rPr>
                <w:rFonts w:cs="宋体" w:hint="eastAsia"/>
              </w:rPr>
              <w:t>科研情况：</w:t>
            </w:r>
          </w:p>
          <w:p w:rsidR="00517C7E" w:rsidRDefault="00517C7E" w:rsidP="00517C7E">
            <w:pPr>
              <w:ind w:firstLineChars="200" w:firstLine="31680"/>
            </w:pPr>
            <w:r>
              <w:t>1.</w:t>
            </w:r>
            <w:r>
              <w:rPr>
                <w:rFonts w:cs="宋体" w:hint="eastAsia"/>
              </w:rPr>
              <w:t>主持申报的“财产保护的刑法介入问题研究”获</w:t>
            </w:r>
            <w:r>
              <w:t>2014</w:t>
            </w:r>
            <w:r>
              <w:rPr>
                <w:rFonts w:cs="宋体" w:hint="eastAsia"/>
              </w:rPr>
              <w:t>年国家社科基金一般项目立项；</w:t>
            </w:r>
          </w:p>
          <w:p w:rsidR="00517C7E" w:rsidRDefault="00517C7E" w:rsidP="00517C7E">
            <w:pPr>
              <w:ind w:firstLineChars="200" w:firstLine="31680"/>
            </w:pPr>
            <w:r>
              <w:t>2.</w:t>
            </w:r>
            <w:r>
              <w:rPr>
                <w:rFonts w:cs="宋体" w:hint="eastAsia"/>
              </w:rPr>
              <w:t>论文“区分不同部门法的违法性判断”发表于《中国社会科学文摘》（权威）</w:t>
            </w:r>
            <w:r>
              <w:t>2014</w:t>
            </w:r>
            <w:r>
              <w:rPr>
                <w:rFonts w:cs="宋体" w:hint="eastAsia"/>
              </w:rPr>
              <w:t>年第</w:t>
            </w:r>
            <w:r>
              <w:t>4</w:t>
            </w:r>
            <w:r>
              <w:rPr>
                <w:rFonts w:cs="宋体" w:hint="eastAsia"/>
              </w:rPr>
              <w:t>期；</w:t>
            </w:r>
          </w:p>
          <w:p w:rsidR="00517C7E" w:rsidRDefault="00517C7E" w:rsidP="00517C7E">
            <w:pPr>
              <w:ind w:firstLineChars="200" w:firstLine="31680"/>
            </w:pPr>
            <w:r>
              <w:t>3.</w:t>
            </w:r>
            <w:r>
              <w:rPr>
                <w:rFonts w:cs="宋体" w:hint="eastAsia"/>
              </w:rPr>
              <w:t>论文“论被害人的自陷风险</w:t>
            </w:r>
            <w:r>
              <w:t>——</w:t>
            </w:r>
            <w:r>
              <w:rPr>
                <w:rFonts w:cs="宋体" w:hint="eastAsia"/>
              </w:rPr>
              <w:t>以诈骗罪为中心”发表于《中国法学》（一级）</w:t>
            </w:r>
            <w:r>
              <w:t>2014</w:t>
            </w:r>
            <w:r>
              <w:rPr>
                <w:rFonts w:cs="宋体" w:hint="eastAsia"/>
              </w:rPr>
              <w:t>年第</w:t>
            </w:r>
            <w:r>
              <w:t>5</w:t>
            </w:r>
            <w:r>
              <w:rPr>
                <w:rFonts w:cs="宋体" w:hint="eastAsia"/>
              </w:rPr>
              <w:t>期</w:t>
            </w:r>
          </w:p>
          <w:p w:rsidR="00517C7E" w:rsidRDefault="00517C7E" w:rsidP="003F2C99">
            <w:r>
              <w:t xml:space="preserve">                                      </w:t>
            </w:r>
          </w:p>
          <w:p w:rsidR="00517C7E" w:rsidRDefault="00517C7E" w:rsidP="00517C7E">
            <w:pPr>
              <w:ind w:firstLineChars="2750" w:firstLine="31680"/>
            </w:pPr>
            <w:r>
              <w:rPr>
                <w:rFonts w:cs="宋体" w:hint="eastAsia"/>
              </w:rPr>
              <w:t>本人签名：</w:t>
            </w:r>
            <w:r>
              <w:t xml:space="preserve">                 </w:t>
            </w:r>
          </w:p>
          <w:p w:rsidR="00517C7E" w:rsidRDefault="00517C7E" w:rsidP="00517C7E">
            <w:pPr>
              <w:ind w:firstLineChars="2850" w:firstLine="31680"/>
              <w:rPr>
                <w:sz w:val="24"/>
                <w:szCs w:val="24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517C7E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单</w:t>
            </w:r>
          </w:p>
          <w:p w:rsidR="00517C7E" w:rsidRDefault="00517C7E" w:rsidP="003F2C99">
            <w:r>
              <w:rPr>
                <w:rFonts w:cs="宋体" w:hint="eastAsia"/>
              </w:rPr>
              <w:t>位</w:t>
            </w:r>
          </w:p>
          <w:p w:rsidR="00517C7E" w:rsidRDefault="00517C7E" w:rsidP="003F2C99">
            <w:r>
              <w:rPr>
                <w:rFonts w:cs="宋体" w:hint="eastAsia"/>
              </w:rPr>
              <w:t>考</w:t>
            </w:r>
          </w:p>
          <w:p w:rsidR="00517C7E" w:rsidRDefault="00517C7E" w:rsidP="003F2C99">
            <w:r>
              <w:rPr>
                <w:rFonts w:cs="宋体" w:hint="eastAsia"/>
              </w:rPr>
              <w:t>评</w:t>
            </w:r>
          </w:p>
          <w:p w:rsidR="00517C7E" w:rsidRDefault="00517C7E" w:rsidP="003F2C99">
            <w:r>
              <w:rPr>
                <w:rFonts w:cs="宋体" w:hint="eastAsia"/>
              </w:rPr>
              <w:t>意</w:t>
            </w:r>
          </w:p>
          <w:p w:rsidR="00517C7E" w:rsidRDefault="00517C7E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517C7E" w:rsidRDefault="00517C7E" w:rsidP="003F2C99"/>
        </w:tc>
      </w:tr>
      <w:tr w:rsidR="00517C7E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517C7E" w:rsidRDefault="00517C7E" w:rsidP="003F2C99">
            <w:pPr>
              <w:widowControl/>
              <w:jc w:val="left"/>
            </w:pPr>
          </w:p>
        </w:tc>
        <w:tc>
          <w:tcPr>
            <w:tcW w:w="1217" w:type="dxa"/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517C7E" w:rsidRDefault="00517C7E" w:rsidP="003F2C99"/>
        </w:tc>
        <w:tc>
          <w:tcPr>
            <w:tcW w:w="5038" w:type="dxa"/>
            <w:tcBorders>
              <w:top w:val="nil"/>
            </w:tcBorders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负责人签名：</w:t>
            </w:r>
            <w:r>
              <w:t xml:space="preserve">          </w:t>
            </w:r>
            <w:r>
              <w:rPr>
                <w:rFonts w:cs="宋体" w:hint="eastAsia"/>
              </w:rPr>
              <w:t>单位（盖章）：</w:t>
            </w:r>
          </w:p>
          <w:p w:rsidR="00517C7E" w:rsidRDefault="00517C7E" w:rsidP="00517C7E">
            <w:pPr>
              <w:ind w:firstLineChars="1300" w:firstLine="316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517C7E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517C7E" w:rsidRDefault="00517C7E" w:rsidP="003F2C99">
            <w:r>
              <w:rPr>
                <w:rFonts w:cs="宋体" w:hint="eastAsia"/>
              </w:rPr>
              <w:t>学</w:t>
            </w:r>
          </w:p>
          <w:p w:rsidR="00517C7E" w:rsidRDefault="00517C7E" w:rsidP="003F2C99">
            <w:r>
              <w:rPr>
                <w:rFonts w:cs="宋体" w:hint="eastAsia"/>
              </w:rPr>
              <w:t>校</w:t>
            </w:r>
          </w:p>
          <w:p w:rsidR="00517C7E" w:rsidRDefault="00517C7E" w:rsidP="003F2C99">
            <w:r>
              <w:rPr>
                <w:rFonts w:cs="宋体" w:hint="eastAsia"/>
              </w:rPr>
              <w:t>意</w:t>
            </w:r>
          </w:p>
          <w:p w:rsidR="00517C7E" w:rsidRDefault="00517C7E" w:rsidP="003F2C99">
            <w:r>
              <w:rPr>
                <w:rFonts w:cs="宋体" w:hint="eastAsia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517C7E" w:rsidRDefault="00517C7E" w:rsidP="003F2C99">
            <w:pPr>
              <w:ind w:right="240"/>
            </w:pPr>
            <w:r>
              <w:t xml:space="preserve">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517C7E" w:rsidRDefault="00517C7E" w:rsidP="00517C7E">
            <w:pPr>
              <w:ind w:firstLineChars="2500" w:firstLine="31680"/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517C7E" w:rsidRDefault="00517C7E" w:rsidP="00772E98">
      <w:pPr>
        <w:spacing w:line="320" w:lineRule="exact"/>
      </w:pPr>
      <w:r>
        <w:rPr>
          <w:rFonts w:cs="宋体" w:hint="eastAsia"/>
        </w:rPr>
        <w:t>备注：</w:t>
      </w:r>
      <w:r>
        <w:t>1.</w:t>
      </w:r>
      <w:r>
        <w:rPr>
          <w:rFonts w:cs="宋体" w:hint="eastAsia"/>
        </w:rPr>
        <w:t>本表归入本人档案，请设置为</w:t>
      </w:r>
      <w:r>
        <w:t>A4</w:t>
      </w:r>
      <w:r>
        <w:rPr>
          <w:rFonts w:cs="宋体" w:hint="eastAsia"/>
        </w:rPr>
        <w:t>纸，双面打印；</w:t>
      </w:r>
    </w:p>
    <w:p w:rsidR="00517C7E" w:rsidRDefault="00517C7E" w:rsidP="00D91D73">
      <w:pPr>
        <w:spacing w:line="320" w:lineRule="exact"/>
        <w:ind w:firstLineChars="300" w:firstLine="31680"/>
      </w:pPr>
      <w:r>
        <w:t>2.</w:t>
      </w:r>
      <w:r>
        <w:rPr>
          <w:rFonts w:cs="宋体" w:hint="eastAsia"/>
        </w:rPr>
        <w:t>签名、单位意见需用黑色、蓝黑色墨水钢笔填写；</w:t>
      </w:r>
    </w:p>
    <w:p w:rsidR="00517C7E" w:rsidRDefault="00517C7E" w:rsidP="00D91D73">
      <w:pPr>
        <w:spacing w:line="320" w:lineRule="exact"/>
        <w:ind w:leftChars="300" w:left="31680"/>
      </w:pPr>
      <w:r>
        <w:t>3.“</w:t>
      </w:r>
      <w:r>
        <w:rPr>
          <w:rFonts w:cs="宋体" w:hint="eastAsia"/>
        </w:rPr>
        <w:t>单位考评意见</w:t>
      </w:r>
      <w:r>
        <w:t>”</w:t>
      </w:r>
      <w:r>
        <w:rPr>
          <w:rFonts w:cs="宋体"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517C7E" w:rsidRDefault="00517C7E" w:rsidP="00772E98"/>
    <w:p w:rsidR="00517C7E" w:rsidRDefault="00517C7E" w:rsidP="00772E98"/>
    <w:p w:rsidR="00517C7E" w:rsidRPr="00772E98" w:rsidRDefault="00517C7E"/>
    <w:sectPr w:rsidR="00517C7E" w:rsidRPr="00772E98" w:rsidSect="00FF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7E" w:rsidRDefault="00517C7E" w:rsidP="00772E98">
      <w:r>
        <w:separator/>
      </w:r>
    </w:p>
  </w:endnote>
  <w:endnote w:type="continuationSeparator" w:id="0">
    <w:p w:rsidR="00517C7E" w:rsidRDefault="00517C7E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7E" w:rsidRDefault="00517C7E" w:rsidP="00772E98">
      <w:r>
        <w:separator/>
      </w:r>
    </w:p>
  </w:footnote>
  <w:footnote w:type="continuationSeparator" w:id="0">
    <w:p w:rsidR="00517C7E" w:rsidRDefault="00517C7E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E98"/>
    <w:rsid w:val="00056547"/>
    <w:rsid w:val="00077A2D"/>
    <w:rsid w:val="000E2234"/>
    <w:rsid w:val="00176930"/>
    <w:rsid w:val="00263810"/>
    <w:rsid w:val="002774FC"/>
    <w:rsid w:val="0032362E"/>
    <w:rsid w:val="003D7EA5"/>
    <w:rsid w:val="003F2C99"/>
    <w:rsid w:val="004133C6"/>
    <w:rsid w:val="00517C7E"/>
    <w:rsid w:val="006D2C46"/>
    <w:rsid w:val="006E6E62"/>
    <w:rsid w:val="00712D94"/>
    <w:rsid w:val="0073423B"/>
    <w:rsid w:val="0075756F"/>
    <w:rsid w:val="00772152"/>
    <w:rsid w:val="00772E98"/>
    <w:rsid w:val="0077588D"/>
    <w:rsid w:val="00795348"/>
    <w:rsid w:val="007B04FA"/>
    <w:rsid w:val="007C7407"/>
    <w:rsid w:val="007E0522"/>
    <w:rsid w:val="00803523"/>
    <w:rsid w:val="0085070B"/>
    <w:rsid w:val="0085739D"/>
    <w:rsid w:val="0088544D"/>
    <w:rsid w:val="008902ED"/>
    <w:rsid w:val="00960850"/>
    <w:rsid w:val="00C82F4C"/>
    <w:rsid w:val="00C94382"/>
    <w:rsid w:val="00CB0214"/>
    <w:rsid w:val="00D11BB7"/>
    <w:rsid w:val="00D91D73"/>
    <w:rsid w:val="00DB69C7"/>
    <w:rsid w:val="00DD7E8B"/>
    <w:rsid w:val="00FB77AA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E98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2E9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72E98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2E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2</Pages>
  <Words>257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wangjun</cp:lastModifiedBy>
  <cp:revision>24</cp:revision>
  <dcterms:created xsi:type="dcterms:W3CDTF">2014-12-11T03:09:00Z</dcterms:created>
  <dcterms:modified xsi:type="dcterms:W3CDTF">2014-12-16T02:30:00Z</dcterms:modified>
</cp:coreProperties>
</file>